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31" w:type="dxa"/>
        <w:tblInd w:w="-5" w:type="dxa"/>
        <w:tblCellMar>
          <w:left w:w="70" w:type="dxa"/>
          <w:right w:w="70" w:type="dxa"/>
        </w:tblCellMar>
        <w:tblLook w:val="04A0" w:firstRow="1" w:lastRow="0" w:firstColumn="1" w:lastColumn="0" w:noHBand="0" w:noVBand="1"/>
      </w:tblPr>
      <w:tblGrid>
        <w:gridCol w:w="5669"/>
        <w:gridCol w:w="5669"/>
        <w:gridCol w:w="4093"/>
      </w:tblGrid>
      <w:tr w:rsidR="00B43A4E" w:rsidRPr="00BD58BF" w14:paraId="6303DB0A" w14:textId="77777777" w:rsidTr="00DA5CD9">
        <w:trPr>
          <w:trHeight w:val="20"/>
        </w:trPr>
        <w:tc>
          <w:tcPr>
            <w:tcW w:w="5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4048B" w14:textId="77777777" w:rsidR="002E6060" w:rsidRPr="00BD58BF" w:rsidRDefault="002E6060" w:rsidP="00A02D8F">
            <w:pPr>
              <w:spacing w:after="0" w:line="240" w:lineRule="auto"/>
              <w:ind w:left="214" w:right="201"/>
              <w:jc w:val="center"/>
              <w:rPr>
                <w:rFonts w:ascii="Arial" w:eastAsia="Times New Roman" w:hAnsi="Arial" w:cs="Arial"/>
                <w:b/>
                <w:bCs/>
                <w:sz w:val="24"/>
                <w:szCs w:val="24"/>
                <w:lang w:eastAsia="pt-BR"/>
              </w:rPr>
            </w:pPr>
            <w:r w:rsidRPr="00BD58BF">
              <w:rPr>
                <w:rFonts w:ascii="Arial" w:eastAsia="Times New Roman" w:hAnsi="Arial" w:cs="Arial"/>
                <w:b/>
                <w:bCs/>
                <w:sz w:val="24"/>
                <w:szCs w:val="24"/>
                <w:lang w:eastAsia="pt-BR"/>
              </w:rPr>
              <w:t>Re</w:t>
            </w:r>
            <w:r w:rsidR="00C67982" w:rsidRPr="00BD58BF">
              <w:rPr>
                <w:rFonts w:ascii="Arial" w:eastAsia="Times New Roman" w:hAnsi="Arial" w:cs="Arial"/>
                <w:b/>
                <w:bCs/>
                <w:sz w:val="24"/>
                <w:szCs w:val="24"/>
                <w:lang w:eastAsia="pt-BR"/>
              </w:rPr>
              <w:t>gulamento v</w:t>
            </w:r>
            <w:r w:rsidRPr="00BD58BF">
              <w:rPr>
                <w:rFonts w:ascii="Arial" w:eastAsia="Times New Roman" w:hAnsi="Arial" w:cs="Arial"/>
                <w:b/>
                <w:bCs/>
                <w:sz w:val="24"/>
                <w:szCs w:val="24"/>
                <w:lang w:eastAsia="pt-BR"/>
              </w:rPr>
              <w:t>igente</w:t>
            </w:r>
          </w:p>
        </w:tc>
        <w:tc>
          <w:tcPr>
            <w:tcW w:w="5669" w:type="dxa"/>
            <w:tcBorders>
              <w:top w:val="single" w:sz="4" w:space="0" w:color="auto"/>
              <w:left w:val="nil"/>
              <w:bottom w:val="single" w:sz="4" w:space="0" w:color="auto"/>
              <w:right w:val="single" w:sz="4" w:space="0" w:color="auto"/>
            </w:tcBorders>
            <w:shd w:val="clear" w:color="auto" w:fill="auto"/>
            <w:noWrap/>
            <w:vAlign w:val="center"/>
            <w:hideMark/>
          </w:tcPr>
          <w:p w14:paraId="461F46E6" w14:textId="77777777" w:rsidR="002E6060" w:rsidRPr="00BD58BF" w:rsidRDefault="002E6060" w:rsidP="00A02D8F">
            <w:pPr>
              <w:spacing w:after="0" w:line="240" w:lineRule="auto"/>
              <w:ind w:left="214"/>
              <w:jc w:val="center"/>
              <w:rPr>
                <w:rFonts w:ascii="Arial" w:eastAsia="Times New Roman" w:hAnsi="Arial" w:cs="Arial"/>
                <w:b/>
                <w:bCs/>
                <w:sz w:val="24"/>
                <w:szCs w:val="24"/>
                <w:lang w:eastAsia="pt-BR"/>
              </w:rPr>
            </w:pPr>
            <w:r w:rsidRPr="00BD58BF">
              <w:rPr>
                <w:rFonts w:ascii="Arial" w:eastAsia="Times New Roman" w:hAnsi="Arial" w:cs="Arial"/>
                <w:b/>
                <w:bCs/>
                <w:sz w:val="24"/>
                <w:szCs w:val="24"/>
                <w:lang w:eastAsia="pt-BR"/>
              </w:rPr>
              <w:t>Proposta</w:t>
            </w:r>
            <w:r w:rsidR="00C67982" w:rsidRPr="00BD58BF">
              <w:rPr>
                <w:rFonts w:ascii="Arial" w:eastAsia="Times New Roman" w:hAnsi="Arial" w:cs="Arial"/>
                <w:b/>
                <w:bCs/>
                <w:sz w:val="24"/>
                <w:szCs w:val="24"/>
                <w:lang w:eastAsia="pt-BR"/>
              </w:rPr>
              <w:t xml:space="preserve"> de alteração</w:t>
            </w:r>
          </w:p>
        </w:tc>
        <w:tc>
          <w:tcPr>
            <w:tcW w:w="4093" w:type="dxa"/>
            <w:tcBorders>
              <w:top w:val="single" w:sz="4" w:space="0" w:color="auto"/>
              <w:left w:val="nil"/>
              <w:bottom w:val="single" w:sz="4" w:space="0" w:color="auto"/>
              <w:right w:val="single" w:sz="4" w:space="0" w:color="auto"/>
            </w:tcBorders>
            <w:shd w:val="clear" w:color="auto" w:fill="auto"/>
            <w:noWrap/>
            <w:vAlign w:val="center"/>
            <w:hideMark/>
          </w:tcPr>
          <w:p w14:paraId="38EFCFCE" w14:textId="77777777" w:rsidR="002E6060" w:rsidRPr="00BD58BF" w:rsidRDefault="002E6060" w:rsidP="004A09F2">
            <w:pPr>
              <w:spacing w:after="0" w:line="240" w:lineRule="auto"/>
              <w:ind w:left="214"/>
              <w:jc w:val="center"/>
              <w:rPr>
                <w:rFonts w:ascii="Arial" w:eastAsia="Times New Roman" w:hAnsi="Arial" w:cs="Arial"/>
                <w:b/>
                <w:bCs/>
                <w:sz w:val="24"/>
                <w:szCs w:val="24"/>
                <w:lang w:eastAsia="pt-BR"/>
              </w:rPr>
            </w:pPr>
            <w:r w:rsidRPr="00BD58BF">
              <w:rPr>
                <w:rFonts w:ascii="Arial" w:eastAsia="Times New Roman" w:hAnsi="Arial" w:cs="Arial"/>
                <w:b/>
                <w:bCs/>
                <w:sz w:val="24"/>
                <w:szCs w:val="24"/>
                <w:lang w:eastAsia="pt-BR"/>
              </w:rPr>
              <w:t>Justificativa</w:t>
            </w:r>
          </w:p>
        </w:tc>
      </w:tr>
      <w:tr w:rsidR="00AA7547" w:rsidRPr="00BD58BF" w14:paraId="76AED91E" w14:textId="77777777" w:rsidTr="00DA5CD9">
        <w:trPr>
          <w:trHeight w:val="20"/>
        </w:trPr>
        <w:tc>
          <w:tcPr>
            <w:tcW w:w="5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B1A7C" w14:textId="3EDAE972" w:rsidR="00AA7547" w:rsidRPr="008B1F96" w:rsidRDefault="008812EF" w:rsidP="00AA7547">
            <w:pPr>
              <w:spacing w:after="0" w:line="240" w:lineRule="auto"/>
              <w:ind w:right="201"/>
              <w:jc w:val="both"/>
              <w:rPr>
                <w:rFonts w:ascii="Arial" w:eastAsia="Times New Roman" w:hAnsi="Arial" w:cs="Arial"/>
                <w:bCs/>
                <w:sz w:val="24"/>
                <w:szCs w:val="24"/>
                <w:lang w:eastAsia="pt-BR"/>
              </w:rPr>
            </w:pPr>
            <w:r w:rsidRPr="008812EF">
              <w:rPr>
                <w:rFonts w:ascii="Arial" w:eastAsia="Times New Roman" w:hAnsi="Arial" w:cs="Arial"/>
                <w:bCs/>
                <w:sz w:val="24"/>
                <w:szCs w:val="24"/>
                <w:lang w:eastAsia="pt-BR"/>
              </w:rPr>
              <w:t>2.9</w:t>
            </w:r>
            <w:r w:rsidRPr="008812EF">
              <w:rPr>
                <w:rFonts w:ascii="Arial" w:eastAsia="Times New Roman" w:hAnsi="Arial" w:cs="Arial"/>
                <w:bCs/>
                <w:sz w:val="24"/>
                <w:szCs w:val="24"/>
                <w:lang w:eastAsia="pt-BR"/>
              </w:rPr>
              <w:tab/>
              <w:t>"IGP-DI": Índice Geral de Preços - Disponibilidade Interna, publicado pela Fundação Getúlio Vargas. Em caso de sua extinção, mudança na sua metodologia de cálculo, reforma econômica ou no caso de impossibilidade legal ou material de sua utilização poderá o Conselho Deliberativo escolher um índice ou indexador econômico substituto, sujeito à aprovação da autoridade competente.</w:t>
            </w:r>
          </w:p>
        </w:tc>
        <w:tc>
          <w:tcPr>
            <w:tcW w:w="5669" w:type="dxa"/>
            <w:tcBorders>
              <w:top w:val="single" w:sz="4" w:space="0" w:color="auto"/>
              <w:left w:val="nil"/>
              <w:bottom w:val="single" w:sz="4" w:space="0" w:color="auto"/>
              <w:right w:val="single" w:sz="4" w:space="0" w:color="auto"/>
            </w:tcBorders>
            <w:shd w:val="clear" w:color="auto" w:fill="auto"/>
            <w:noWrap/>
            <w:vAlign w:val="center"/>
          </w:tcPr>
          <w:p w14:paraId="4533C0AB" w14:textId="20FB13C1" w:rsidR="00AA38A1" w:rsidRPr="008812EF" w:rsidRDefault="008812EF" w:rsidP="00A02D8F">
            <w:pPr>
              <w:spacing w:after="0" w:line="240" w:lineRule="auto"/>
              <w:jc w:val="both"/>
              <w:rPr>
                <w:rFonts w:ascii="Arial" w:eastAsia="Times New Roman" w:hAnsi="Arial" w:cs="Arial"/>
                <w:sz w:val="24"/>
                <w:szCs w:val="24"/>
                <w:lang w:eastAsia="pt-BR"/>
              </w:rPr>
            </w:pPr>
            <w:r w:rsidRPr="008812EF">
              <w:rPr>
                <w:rFonts w:ascii="Arial" w:eastAsia="Times New Roman" w:hAnsi="Arial" w:cs="Arial"/>
                <w:sz w:val="24"/>
                <w:szCs w:val="24"/>
                <w:lang w:eastAsia="pt-BR"/>
              </w:rPr>
              <w:t>2.9</w:t>
            </w:r>
            <w:r w:rsidRPr="008812EF">
              <w:rPr>
                <w:rFonts w:ascii="Arial" w:eastAsia="Times New Roman" w:hAnsi="Arial" w:cs="Arial"/>
                <w:sz w:val="24"/>
                <w:szCs w:val="24"/>
                <w:lang w:eastAsia="pt-BR"/>
              </w:rPr>
              <w:tab/>
            </w:r>
            <w:bookmarkStart w:id="0" w:name="_Hlk66200912"/>
            <w:r w:rsidRPr="008812EF">
              <w:rPr>
                <w:rFonts w:ascii="Arial" w:eastAsia="Times New Roman" w:hAnsi="Arial" w:cs="Arial"/>
                <w:b/>
                <w:bCs/>
                <w:sz w:val="24"/>
                <w:szCs w:val="24"/>
                <w:lang w:eastAsia="pt-BR"/>
              </w:rPr>
              <w:t>"Índice do Plano": significará o IPCA – Índice Nacional de Preços ao Consumidor Amplo (IPCA), publicado pelo Instituto Brasileiro de Geografia e Estatística (IBGE).</w:t>
            </w:r>
            <w:r w:rsidRPr="008812EF">
              <w:rPr>
                <w:rFonts w:ascii="Arial" w:eastAsia="Times New Roman" w:hAnsi="Arial" w:cs="Arial"/>
                <w:sz w:val="24"/>
                <w:szCs w:val="24"/>
                <w:lang w:eastAsia="pt-BR"/>
              </w:rPr>
              <w:t xml:space="preserve"> </w:t>
            </w:r>
            <w:bookmarkEnd w:id="0"/>
            <w:r w:rsidRPr="008812EF">
              <w:rPr>
                <w:rFonts w:ascii="Arial" w:eastAsia="Times New Roman" w:hAnsi="Arial" w:cs="Arial"/>
                <w:sz w:val="24"/>
                <w:szCs w:val="24"/>
                <w:lang w:eastAsia="pt-BR"/>
              </w:rPr>
              <w:t>Em caso de sua extinção, mudança na sua metodologia de cálculo, reforma econômica ou no caso de impossibilidade legal ou material de sua utilização poderá o Conselho Deliberativo escolher um índice ou indexador econômico substituto, sujeito à aprovação da autoridade competente.</w:t>
            </w:r>
          </w:p>
        </w:tc>
        <w:tc>
          <w:tcPr>
            <w:tcW w:w="4093" w:type="dxa"/>
            <w:tcBorders>
              <w:top w:val="single" w:sz="4" w:space="0" w:color="auto"/>
              <w:left w:val="nil"/>
              <w:bottom w:val="single" w:sz="4" w:space="0" w:color="auto"/>
              <w:right w:val="single" w:sz="4" w:space="0" w:color="auto"/>
            </w:tcBorders>
            <w:shd w:val="clear" w:color="auto" w:fill="auto"/>
            <w:noWrap/>
            <w:vAlign w:val="center"/>
          </w:tcPr>
          <w:p w14:paraId="6D732DBF" w14:textId="12A9159F" w:rsidR="00CF717B" w:rsidRDefault="008812EF" w:rsidP="008812EF">
            <w:pPr>
              <w:spacing w:after="0" w:line="240" w:lineRule="auto"/>
              <w:jc w:val="center"/>
              <w:rPr>
                <w:rFonts w:ascii="Arial" w:eastAsia="Times New Roman" w:hAnsi="Arial" w:cs="Arial"/>
                <w:bCs/>
                <w:sz w:val="24"/>
                <w:szCs w:val="24"/>
                <w:lang w:eastAsia="pt-BR"/>
              </w:rPr>
            </w:pPr>
            <w:r>
              <w:rPr>
                <w:rFonts w:ascii="Arial" w:eastAsia="Times New Roman" w:hAnsi="Arial" w:cs="Arial"/>
                <w:bCs/>
                <w:sz w:val="24"/>
                <w:szCs w:val="24"/>
                <w:lang w:eastAsia="pt-BR"/>
              </w:rPr>
              <w:t>Substituição do indexador do plano.</w:t>
            </w:r>
          </w:p>
        </w:tc>
      </w:tr>
      <w:tr w:rsidR="00F21707" w:rsidRPr="00BD58BF" w14:paraId="68845F74" w14:textId="77777777" w:rsidTr="00DA5CD9">
        <w:trPr>
          <w:trHeight w:val="20"/>
        </w:trPr>
        <w:tc>
          <w:tcPr>
            <w:tcW w:w="5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65999" w14:textId="55B9AEEC" w:rsidR="00F21707" w:rsidRPr="00F21707" w:rsidRDefault="008812EF" w:rsidP="00A02D8F">
            <w:pPr>
              <w:spacing w:after="0" w:line="240" w:lineRule="auto"/>
              <w:ind w:right="201"/>
              <w:jc w:val="both"/>
              <w:rPr>
                <w:rFonts w:ascii="Arial" w:eastAsia="Times New Roman" w:hAnsi="Arial" w:cs="Arial"/>
                <w:bCs/>
                <w:sz w:val="24"/>
                <w:szCs w:val="24"/>
                <w:lang w:eastAsia="pt-BR"/>
              </w:rPr>
            </w:pPr>
            <w:r w:rsidRPr="008812EF">
              <w:rPr>
                <w:rFonts w:ascii="Arial" w:eastAsia="Times New Roman" w:hAnsi="Arial" w:cs="Arial"/>
                <w:bCs/>
                <w:sz w:val="24"/>
                <w:szCs w:val="24"/>
                <w:lang w:eastAsia="pt-BR"/>
              </w:rPr>
              <w:t>2.19</w:t>
            </w:r>
            <w:r w:rsidRPr="008812EF">
              <w:rPr>
                <w:rFonts w:ascii="Arial" w:eastAsia="Times New Roman" w:hAnsi="Arial" w:cs="Arial"/>
                <w:bCs/>
                <w:sz w:val="24"/>
                <w:szCs w:val="24"/>
                <w:lang w:eastAsia="pt-BR"/>
              </w:rPr>
              <w:tab/>
              <w:t xml:space="preserve">"Salário Unitário": significará o valor de R$ 58,69 (cinquenta e oito reais e sessenta e nove centavos) a preços de 31/10/95, reajustado anualmente, no mês de janeiro, pelo IGP-DI ou outro índice ou outro </w:t>
            </w:r>
            <w:proofErr w:type="gramStart"/>
            <w:r w:rsidRPr="008812EF">
              <w:rPr>
                <w:rFonts w:ascii="Arial" w:eastAsia="Times New Roman" w:hAnsi="Arial" w:cs="Arial"/>
                <w:bCs/>
                <w:sz w:val="24"/>
                <w:szCs w:val="24"/>
                <w:lang w:eastAsia="pt-BR"/>
              </w:rPr>
              <w:t>prazo fixados</w:t>
            </w:r>
            <w:proofErr w:type="gramEnd"/>
            <w:r w:rsidRPr="008812EF">
              <w:rPr>
                <w:rFonts w:ascii="Arial" w:eastAsia="Times New Roman" w:hAnsi="Arial" w:cs="Arial"/>
                <w:bCs/>
                <w:sz w:val="24"/>
                <w:szCs w:val="24"/>
                <w:lang w:eastAsia="pt-BR"/>
              </w:rPr>
              <w:t xml:space="preserve"> a critério do Conselho de Deliberativo do Instituto Ambev.</w:t>
            </w:r>
          </w:p>
        </w:tc>
        <w:tc>
          <w:tcPr>
            <w:tcW w:w="5669" w:type="dxa"/>
            <w:tcBorders>
              <w:top w:val="single" w:sz="4" w:space="0" w:color="auto"/>
              <w:left w:val="nil"/>
              <w:bottom w:val="single" w:sz="4" w:space="0" w:color="auto"/>
              <w:right w:val="single" w:sz="4" w:space="0" w:color="auto"/>
            </w:tcBorders>
            <w:shd w:val="clear" w:color="auto" w:fill="auto"/>
            <w:noWrap/>
            <w:vAlign w:val="center"/>
          </w:tcPr>
          <w:p w14:paraId="47082629" w14:textId="6901EA3F" w:rsidR="00F21707" w:rsidRPr="00F21707" w:rsidRDefault="008812EF" w:rsidP="00A02D8F">
            <w:pPr>
              <w:spacing w:after="0" w:line="240" w:lineRule="auto"/>
              <w:jc w:val="both"/>
              <w:rPr>
                <w:rFonts w:ascii="Arial" w:eastAsia="Times New Roman" w:hAnsi="Arial" w:cs="Arial"/>
                <w:bCs/>
                <w:sz w:val="24"/>
                <w:szCs w:val="24"/>
                <w:lang w:eastAsia="pt-BR"/>
              </w:rPr>
            </w:pPr>
            <w:r w:rsidRPr="008812EF">
              <w:rPr>
                <w:rFonts w:ascii="Arial" w:eastAsia="Times New Roman" w:hAnsi="Arial" w:cs="Arial"/>
                <w:bCs/>
                <w:sz w:val="24"/>
                <w:szCs w:val="24"/>
                <w:lang w:eastAsia="pt-BR"/>
              </w:rPr>
              <w:t>2.19</w:t>
            </w:r>
            <w:r w:rsidRPr="008812EF">
              <w:rPr>
                <w:rFonts w:ascii="Arial" w:eastAsia="Times New Roman" w:hAnsi="Arial" w:cs="Arial"/>
                <w:bCs/>
                <w:sz w:val="24"/>
                <w:szCs w:val="24"/>
                <w:lang w:eastAsia="pt-BR"/>
              </w:rPr>
              <w:tab/>
              <w:t xml:space="preserve">"Salário Unitário": significará o valor de R$ 58,69 (cinquenta e oito reais e sessenta e nove centavos) a preços de 31/10/95, reajustado anualmente, no mês de janeiro, pelo </w:t>
            </w:r>
            <w:r w:rsidRPr="008812EF">
              <w:rPr>
                <w:rFonts w:ascii="Arial" w:eastAsia="Times New Roman" w:hAnsi="Arial" w:cs="Arial"/>
                <w:b/>
                <w:sz w:val="24"/>
                <w:szCs w:val="24"/>
                <w:lang w:eastAsia="pt-BR"/>
              </w:rPr>
              <w:t>Índice do Plano</w:t>
            </w:r>
            <w:r w:rsidRPr="008812EF">
              <w:rPr>
                <w:rFonts w:ascii="Arial" w:eastAsia="Times New Roman" w:hAnsi="Arial" w:cs="Arial"/>
                <w:bCs/>
                <w:sz w:val="24"/>
                <w:szCs w:val="24"/>
                <w:lang w:eastAsia="pt-BR"/>
              </w:rPr>
              <w:t xml:space="preserve"> ou outro índice ou outro </w:t>
            </w:r>
            <w:proofErr w:type="gramStart"/>
            <w:r w:rsidRPr="008812EF">
              <w:rPr>
                <w:rFonts w:ascii="Arial" w:eastAsia="Times New Roman" w:hAnsi="Arial" w:cs="Arial"/>
                <w:bCs/>
                <w:sz w:val="24"/>
                <w:szCs w:val="24"/>
                <w:lang w:eastAsia="pt-BR"/>
              </w:rPr>
              <w:t>prazo fixados</w:t>
            </w:r>
            <w:proofErr w:type="gramEnd"/>
            <w:r w:rsidRPr="008812EF">
              <w:rPr>
                <w:rFonts w:ascii="Arial" w:eastAsia="Times New Roman" w:hAnsi="Arial" w:cs="Arial"/>
                <w:bCs/>
                <w:sz w:val="24"/>
                <w:szCs w:val="24"/>
                <w:lang w:eastAsia="pt-BR"/>
              </w:rPr>
              <w:t xml:space="preserve"> a critério do Conselho de Deliberativo do Instituto Ambev.</w:t>
            </w:r>
          </w:p>
        </w:tc>
        <w:tc>
          <w:tcPr>
            <w:tcW w:w="4093" w:type="dxa"/>
            <w:tcBorders>
              <w:top w:val="single" w:sz="4" w:space="0" w:color="auto"/>
              <w:left w:val="nil"/>
              <w:bottom w:val="single" w:sz="4" w:space="0" w:color="auto"/>
              <w:right w:val="single" w:sz="4" w:space="0" w:color="auto"/>
            </w:tcBorders>
            <w:shd w:val="clear" w:color="auto" w:fill="auto"/>
            <w:noWrap/>
            <w:vAlign w:val="center"/>
          </w:tcPr>
          <w:p w14:paraId="1EACDC19" w14:textId="33FBE7AF" w:rsidR="00F21707" w:rsidRPr="00F21707" w:rsidRDefault="008812EF" w:rsidP="008812EF">
            <w:pPr>
              <w:spacing w:after="0" w:line="240" w:lineRule="auto"/>
              <w:jc w:val="center"/>
              <w:rPr>
                <w:rFonts w:ascii="Arial" w:eastAsia="Times New Roman" w:hAnsi="Arial" w:cs="Arial"/>
                <w:bCs/>
                <w:sz w:val="24"/>
                <w:szCs w:val="24"/>
                <w:lang w:eastAsia="pt-BR"/>
              </w:rPr>
            </w:pPr>
            <w:r>
              <w:rPr>
                <w:rFonts w:ascii="Arial" w:eastAsia="Times New Roman" w:hAnsi="Arial" w:cs="Arial"/>
                <w:bCs/>
                <w:sz w:val="24"/>
                <w:szCs w:val="24"/>
                <w:lang w:eastAsia="pt-BR"/>
              </w:rPr>
              <w:t>Substituição do indexador do plano.</w:t>
            </w:r>
          </w:p>
        </w:tc>
      </w:tr>
      <w:tr w:rsidR="00F21707" w:rsidRPr="00BD58BF" w14:paraId="2C9C16A9" w14:textId="77777777" w:rsidTr="00DA5CD9">
        <w:trPr>
          <w:trHeight w:val="20"/>
        </w:trPr>
        <w:tc>
          <w:tcPr>
            <w:tcW w:w="5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6FB72" w14:textId="5C46389F" w:rsidR="00F21707" w:rsidRPr="00F21707" w:rsidRDefault="008812EF" w:rsidP="00A02D8F">
            <w:pPr>
              <w:spacing w:after="0" w:line="240" w:lineRule="auto"/>
              <w:ind w:right="201"/>
              <w:jc w:val="both"/>
              <w:rPr>
                <w:rFonts w:ascii="Arial" w:eastAsia="Times New Roman" w:hAnsi="Arial" w:cs="Arial"/>
                <w:bCs/>
                <w:sz w:val="24"/>
                <w:szCs w:val="24"/>
                <w:lang w:eastAsia="pt-BR"/>
              </w:rPr>
            </w:pPr>
            <w:r w:rsidRPr="008812EF">
              <w:rPr>
                <w:rFonts w:ascii="Arial" w:eastAsia="Times New Roman" w:hAnsi="Arial" w:cs="Arial"/>
                <w:bCs/>
                <w:sz w:val="24"/>
                <w:szCs w:val="24"/>
                <w:lang w:eastAsia="pt-BR"/>
              </w:rPr>
              <w:t>5.2.1</w:t>
            </w:r>
            <w:r w:rsidRPr="008812EF">
              <w:rPr>
                <w:rFonts w:ascii="Arial" w:eastAsia="Times New Roman" w:hAnsi="Arial" w:cs="Arial"/>
                <w:bCs/>
                <w:sz w:val="24"/>
                <w:szCs w:val="24"/>
                <w:lang w:eastAsia="pt-BR"/>
              </w:rPr>
              <w:tab/>
              <w:t>O Salário de Participação previsto no item 5.2 será atualizado em junho de cada ano com base na variação do IGP-DI.</w:t>
            </w:r>
          </w:p>
        </w:tc>
        <w:tc>
          <w:tcPr>
            <w:tcW w:w="5669" w:type="dxa"/>
            <w:tcBorders>
              <w:top w:val="single" w:sz="4" w:space="0" w:color="auto"/>
              <w:left w:val="nil"/>
              <w:bottom w:val="single" w:sz="4" w:space="0" w:color="auto"/>
              <w:right w:val="single" w:sz="4" w:space="0" w:color="auto"/>
            </w:tcBorders>
            <w:shd w:val="clear" w:color="auto" w:fill="auto"/>
            <w:noWrap/>
            <w:vAlign w:val="center"/>
          </w:tcPr>
          <w:p w14:paraId="1478FC2A" w14:textId="76C3BF12" w:rsidR="00F21707" w:rsidRPr="00F21707" w:rsidRDefault="008812EF" w:rsidP="00A02D8F">
            <w:pPr>
              <w:spacing w:after="0" w:line="240" w:lineRule="auto"/>
              <w:jc w:val="both"/>
              <w:rPr>
                <w:rFonts w:ascii="Arial" w:eastAsia="Times New Roman" w:hAnsi="Arial" w:cs="Arial"/>
                <w:bCs/>
                <w:sz w:val="24"/>
                <w:szCs w:val="24"/>
                <w:lang w:eastAsia="pt-BR"/>
              </w:rPr>
            </w:pPr>
            <w:r w:rsidRPr="008812EF">
              <w:rPr>
                <w:rFonts w:ascii="Arial" w:eastAsia="Times New Roman" w:hAnsi="Arial" w:cs="Arial"/>
                <w:bCs/>
                <w:sz w:val="24"/>
                <w:szCs w:val="24"/>
                <w:lang w:eastAsia="pt-BR"/>
              </w:rPr>
              <w:t>5.2.1</w:t>
            </w:r>
            <w:r w:rsidRPr="008812EF">
              <w:rPr>
                <w:rFonts w:ascii="Arial" w:eastAsia="Times New Roman" w:hAnsi="Arial" w:cs="Arial"/>
                <w:bCs/>
                <w:sz w:val="24"/>
                <w:szCs w:val="24"/>
                <w:lang w:eastAsia="pt-BR"/>
              </w:rPr>
              <w:tab/>
              <w:t xml:space="preserve">O Salário de Participação previsto no item 5.2 será atualizado em </w:t>
            </w:r>
            <w:r w:rsidRPr="00244066">
              <w:rPr>
                <w:rFonts w:ascii="Arial" w:eastAsia="Times New Roman" w:hAnsi="Arial" w:cs="Arial"/>
                <w:b/>
                <w:sz w:val="24"/>
                <w:szCs w:val="24"/>
                <w:lang w:eastAsia="pt-BR"/>
              </w:rPr>
              <w:t>j</w:t>
            </w:r>
            <w:r w:rsidR="00244066" w:rsidRPr="00244066">
              <w:rPr>
                <w:rFonts w:ascii="Arial" w:eastAsia="Times New Roman" w:hAnsi="Arial" w:cs="Arial"/>
                <w:b/>
                <w:sz w:val="24"/>
                <w:szCs w:val="24"/>
                <w:lang w:eastAsia="pt-BR"/>
              </w:rPr>
              <w:t>aneiro</w:t>
            </w:r>
            <w:r w:rsidR="00244066">
              <w:rPr>
                <w:rFonts w:ascii="Arial" w:eastAsia="Times New Roman" w:hAnsi="Arial" w:cs="Arial"/>
                <w:bCs/>
                <w:sz w:val="24"/>
                <w:szCs w:val="24"/>
                <w:lang w:eastAsia="pt-BR"/>
              </w:rPr>
              <w:t xml:space="preserve"> </w:t>
            </w:r>
            <w:r w:rsidRPr="008812EF">
              <w:rPr>
                <w:rFonts w:ascii="Arial" w:eastAsia="Times New Roman" w:hAnsi="Arial" w:cs="Arial"/>
                <w:bCs/>
                <w:sz w:val="24"/>
                <w:szCs w:val="24"/>
                <w:lang w:eastAsia="pt-BR"/>
              </w:rPr>
              <w:t xml:space="preserve">de cada ano com base na variação do </w:t>
            </w:r>
            <w:bookmarkStart w:id="1" w:name="_Hlk66201091"/>
            <w:r w:rsidRPr="008812EF">
              <w:rPr>
                <w:rFonts w:ascii="Arial" w:eastAsia="Times New Roman" w:hAnsi="Arial" w:cs="Arial"/>
                <w:b/>
                <w:sz w:val="24"/>
                <w:szCs w:val="24"/>
                <w:lang w:eastAsia="pt-BR"/>
              </w:rPr>
              <w:t>Índice do Plano</w:t>
            </w:r>
            <w:bookmarkEnd w:id="1"/>
            <w:r w:rsidRPr="008812EF">
              <w:rPr>
                <w:rFonts w:ascii="Arial" w:eastAsia="Times New Roman" w:hAnsi="Arial" w:cs="Arial"/>
                <w:bCs/>
                <w:sz w:val="24"/>
                <w:szCs w:val="24"/>
                <w:lang w:eastAsia="pt-BR"/>
              </w:rPr>
              <w:t>.</w:t>
            </w:r>
          </w:p>
        </w:tc>
        <w:tc>
          <w:tcPr>
            <w:tcW w:w="4093" w:type="dxa"/>
            <w:tcBorders>
              <w:top w:val="single" w:sz="4" w:space="0" w:color="auto"/>
              <w:left w:val="nil"/>
              <w:bottom w:val="single" w:sz="4" w:space="0" w:color="auto"/>
              <w:right w:val="single" w:sz="4" w:space="0" w:color="auto"/>
            </w:tcBorders>
            <w:shd w:val="clear" w:color="auto" w:fill="auto"/>
            <w:noWrap/>
            <w:vAlign w:val="center"/>
          </w:tcPr>
          <w:p w14:paraId="006E9022" w14:textId="1CB39CD9" w:rsidR="00F21707" w:rsidRPr="00F21707" w:rsidRDefault="008812EF" w:rsidP="008812EF">
            <w:pPr>
              <w:spacing w:after="0" w:line="240" w:lineRule="auto"/>
              <w:jc w:val="center"/>
              <w:rPr>
                <w:rFonts w:ascii="Arial" w:eastAsia="Times New Roman" w:hAnsi="Arial" w:cs="Arial"/>
                <w:bCs/>
                <w:sz w:val="24"/>
                <w:szCs w:val="24"/>
                <w:lang w:eastAsia="pt-BR"/>
              </w:rPr>
            </w:pPr>
            <w:r>
              <w:rPr>
                <w:rFonts w:ascii="Arial" w:eastAsia="Times New Roman" w:hAnsi="Arial" w:cs="Arial"/>
                <w:bCs/>
                <w:sz w:val="24"/>
                <w:szCs w:val="24"/>
                <w:lang w:eastAsia="pt-BR"/>
              </w:rPr>
              <w:t>Substituição do indexador do plano</w:t>
            </w:r>
            <w:r w:rsidR="00244066">
              <w:rPr>
                <w:rFonts w:ascii="Arial" w:eastAsia="Times New Roman" w:hAnsi="Arial" w:cs="Arial"/>
                <w:bCs/>
                <w:sz w:val="24"/>
                <w:szCs w:val="24"/>
                <w:lang w:eastAsia="pt-BR"/>
              </w:rPr>
              <w:t xml:space="preserve">; </w:t>
            </w:r>
            <w:proofErr w:type="spellStart"/>
            <w:r w:rsidR="00244066">
              <w:rPr>
                <w:rFonts w:ascii="Arial" w:eastAsia="Times New Roman" w:hAnsi="Arial" w:cs="Arial"/>
                <w:bCs/>
                <w:sz w:val="24"/>
                <w:szCs w:val="24"/>
                <w:lang w:eastAsia="pt-BR"/>
              </w:rPr>
              <w:t>altração</w:t>
            </w:r>
            <w:proofErr w:type="spellEnd"/>
            <w:r w:rsidR="00244066">
              <w:rPr>
                <w:rFonts w:ascii="Arial" w:eastAsia="Times New Roman" w:hAnsi="Arial" w:cs="Arial"/>
                <w:bCs/>
                <w:sz w:val="24"/>
                <w:szCs w:val="24"/>
                <w:lang w:eastAsia="pt-BR"/>
              </w:rPr>
              <w:t xml:space="preserve"> da data-base de reajuste do salário de participação. </w:t>
            </w:r>
          </w:p>
        </w:tc>
      </w:tr>
      <w:tr w:rsidR="00F21707" w:rsidRPr="00BD58BF" w14:paraId="18C90009" w14:textId="77777777" w:rsidTr="00DA5CD9">
        <w:trPr>
          <w:trHeight w:val="20"/>
        </w:trPr>
        <w:tc>
          <w:tcPr>
            <w:tcW w:w="5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CE723" w14:textId="7C365449" w:rsidR="00F21707" w:rsidRPr="00F21707" w:rsidRDefault="008812EF" w:rsidP="00A02D8F">
            <w:pPr>
              <w:spacing w:after="0" w:line="240" w:lineRule="auto"/>
              <w:ind w:right="201"/>
              <w:jc w:val="both"/>
              <w:rPr>
                <w:rFonts w:ascii="Arial" w:eastAsia="Times New Roman" w:hAnsi="Arial" w:cs="Arial"/>
                <w:bCs/>
                <w:sz w:val="24"/>
                <w:szCs w:val="24"/>
                <w:lang w:eastAsia="pt-BR"/>
              </w:rPr>
            </w:pPr>
            <w:r w:rsidRPr="008812EF">
              <w:rPr>
                <w:rFonts w:ascii="Arial" w:eastAsia="Times New Roman" w:hAnsi="Arial" w:cs="Arial"/>
                <w:bCs/>
                <w:sz w:val="24"/>
                <w:szCs w:val="24"/>
                <w:lang w:eastAsia="pt-BR"/>
              </w:rPr>
              <w:t>5.3.1</w:t>
            </w:r>
            <w:r w:rsidRPr="008812EF">
              <w:rPr>
                <w:rFonts w:ascii="Arial" w:eastAsia="Times New Roman" w:hAnsi="Arial" w:cs="Arial"/>
                <w:bCs/>
                <w:sz w:val="24"/>
                <w:szCs w:val="24"/>
                <w:lang w:eastAsia="pt-BR"/>
              </w:rPr>
              <w:tab/>
              <w:t>O Salário de Participação previsto no item 5.3 será atualizado em junho de cada ano com base na variação do IGP-DI.</w:t>
            </w:r>
          </w:p>
        </w:tc>
        <w:tc>
          <w:tcPr>
            <w:tcW w:w="5669" w:type="dxa"/>
            <w:tcBorders>
              <w:top w:val="single" w:sz="4" w:space="0" w:color="auto"/>
              <w:left w:val="nil"/>
              <w:bottom w:val="single" w:sz="4" w:space="0" w:color="auto"/>
              <w:right w:val="single" w:sz="4" w:space="0" w:color="auto"/>
            </w:tcBorders>
            <w:shd w:val="clear" w:color="auto" w:fill="auto"/>
            <w:noWrap/>
            <w:vAlign w:val="center"/>
          </w:tcPr>
          <w:p w14:paraId="507BF564" w14:textId="075CB404" w:rsidR="00F21707" w:rsidRPr="008812EF" w:rsidRDefault="008812EF" w:rsidP="008812EF">
            <w:pPr>
              <w:spacing w:after="0" w:line="240" w:lineRule="auto"/>
              <w:jc w:val="both"/>
              <w:rPr>
                <w:rFonts w:ascii="Arial" w:eastAsia="Times New Roman" w:hAnsi="Arial" w:cs="Arial"/>
                <w:sz w:val="24"/>
                <w:szCs w:val="24"/>
                <w:lang w:eastAsia="pt-BR"/>
              </w:rPr>
            </w:pPr>
            <w:r w:rsidRPr="008812EF">
              <w:rPr>
                <w:rFonts w:ascii="Arial" w:eastAsia="Times New Roman" w:hAnsi="Arial" w:cs="Arial"/>
                <w:sz w:val="24"/>
                <w:szCs w:val="24"/>
                <w:lang w:eastAsia="pt-BR"/>
              </w:rPr>
              <w:t>5.3.1</w:t>
            </w:r>
            <w:r w:rsidRPr="008812EF">
              <w:rPr>
                <w:rFonts w:ascii="Arial" w:eastAsia="Times New Roman" w:hAnsi="Arial" w:cs="Arial"/>
                <w:sz w:val="24"/>
                <w:szCs w:val="24"/>
                <w:lang w:eastAsia="pt-BR"/>
              </w:rPr>
              <w:tab/>
              <w:t xml:space="preserve">O Salário de Participação previsto no item 5.3 será atualizado em </w:t>
            </w:r>
            <w:r w:rsidRPr="00244066">
              <w:rPr>
                <w:rFonts w:ascii="Arial" w:eastAsia="Times New Roman" w:hAnsi="Arial" w:cs="Arial"/>
                <w:b/>
                <w:bCs/>
                <w:sz w:val="24"/>
                <w:szCs w:val="24"/>
                <w:lang w:eastAsia="pt-BR"/>
              </w:rPr>
              <w:t>j</w:t>
            </w:r>
            <w:r w:rsidR="00244066" w:rsidRPr="00244066">
              <w:rPr>
                <w:rFonts w:ascii="Arial" w:eastAsia="Times New Roman" w:hAnsi="Arial" w:cs="Arial"/>
                <w:b/>
                <w:bCs/>
                <w:sz w:val="24"/>
                <w:szCs w:val="24"/>
                <w:lang w:eastAsia="pt-BR"/>
              </w:rPr>
              <w:t>aneiro</w:t>
            </w:r>
            <w:r w:rsidR="00244066">
              <w:rPr>
                <w:rFonts w:ascii="Arial" w:eastAsia="Times New Roman" w:hAnsi="Arial" w:cs="Arial"/>
                <w:sz w:val="24"/>
                <w:szCs w:val="24"/>
                <w:lang w:eastAsia="pt-BR"/>
              </w:rPr>
              <w:t xml:space="preserve"> </w:t>
            </w:r>
            <w:r w:rsidRPr="008812EF">
              <w:rPr>
                <w:rFonts w:ascii="Arial" w:eastAsia="Times New Roman" w:hAnsi="Arial" w:cs="Arial"/>
                <w:sz w:val="24"/>
                <w:szCs w:val="24"/>
                <w:lang w:eastAsia="pt-BR"/>
              </w:rPr>
              <w:t xml:space="preserve">de cada ano com base na variação do </w:t>
            </w:r>
            <w:r w:rsidRPr="008812EF">
              <w:rPr>
                <w:rFonts w:ascii="Arial" w:eastAsia="Times New Roman" w:hAnsi="Arial" w:cs="Arial"/>
                <w:b/>
                <w:sz w:val="24"/>
                <w:szCs w:val="24"/>
                <w:lang w:eastAsia="pt-BR"/>
              </w:rPr>
              <w:t>Índice do Plano</w:t>
            </w:r>
            <w:r w:rsidRPr="008812EF">
              <w:rPr>
                <w:rFonts w:ascii="Arial" w:eastAsia="Times New Roman" w:hAnsi="Arial" w:cs="Arial"/>
                <w:sz w:val="24"/>
                <w:szCs w:val="24"/>
                <w:lang w:eastAsia="pt-BR"/>
              </w:rPr>
              <w:t>.</w:t>
            </w:r>
          </w:p>
        </w:tc>
        <w:tc>
          <w:tcPr>
            <w:tcW w:w="4093" w:type="dxa"/>
            <w:tcBorders>
              <w:top w:val="single" w:sz="4" w:space="0" w:color="auto"/>
              <w:left w:val="nil"/>
              <w:bottom w:val="single" w:sz="4" w:space="0" w:color="auto"/>
              <w:right w:val="single" w:sz="4" w:space="0" w:color="auto"/>
            </w:tcBorders>
            <w:shd w:val="clear" w:color="auto" w:fill="auto"/>
            <w:noWrap/>
            <w:vAlign w:val="center"/>
          </w:tcPr>
          <w:p w14:paraId="3E81E8B3" w14:textId="4C97D1D8" w:rsidR="00F21707" w:rsidRPr="00F21707" w:rsidRDefault="008812EF" w:rsidP="008812EF">
            <w:pPr>
              <w:spacing w:after="0" w:line="240" w:lineRule="auto"/>
              <w:jc w:val="center"/>
              <w:rPr>
                <w:rFonts w:ascii="Arial" w:eastAsia="Times New Roman" w:hAnsi="Arial" w:cs="Arial"/>
                <w:bCs/>
                <w:sz w:val="24"/>
                <w:szCs w:val="24"/>
                <w:lang w:eastAsia="pt-BR"/>
              </w:rPr>
            </w:pPr>
            <w:r>
              <w:rPr>
                <w:rFonts w:ascii="Arial" w:eastAsia="Times New Roman" w:hAnsi="Arial" w:cs="Arial"/>
                <w:bCs/>
                <w:sz w:val="24"/>
                <w:szCs w:val="24"/>
                <w:lang w:eastAsia="pt-BR"/>
              </w:rPr>
              <w:t>Substituição do indexador do plano</w:t>
            </w:r>
            <w:r w:rsidR="00244066">
              <w:rPr>
                <w:rFonts w:ascii="Arial" w:eastAsia="Times New Roman" w:hAnsi="Arial" w:cs="Arial"/>
                <w:bCs/>
                <w:sz w:val="24"/>
                <w:szCs w:val="24"/>
                <w:lang w:eastAsia="pt-BR"/>
              </w:rPr>
              <w:t xml:space="preserve">; </w:t>
            </w:r>
            <w:proofErr w:type="spellStart"/>
            <w:r w:rsidR="00244066">
              <w:rPr>
                <w:rFonts w:ascii="Arial" w:eastAsia="Times New Roman" w:hAnsi="Arial" w:cs="Arial"/>
                <w:bCs/>
                <w:sz w:val="24"/>
                <w:szCs w:val="24"/>
                <w:lang w:eastAsia="pt-BR"/>
              </w:rPr>
              <w:t>altração</w:t>
            </w:r>
            <w:proofErr w:type="spellEnd"/>
            <w:r w:rsidR="00244066">
              <w:rPr>
                <w:rFonts w:ascii="Arial" w:eastAsia="Times New Roman" w:hAnsi="Arial" w:cs="Arial"/>
                <w:bCs/>
                <w:sz w:val="24"/>
                <w:szCs w:val="24"/>
                <w:lang w:eastAsia="pt-BR"/>
              </w:rPr>
              <w:t xml:space="preserve"> da data-base de reajuste do salário de participação.</w:t>
            </w:r>
          </w:p>
        </w:tc>
      </w:tr>
      <w:tr w:rsidR="00C04FAE" w:rsidRPr="00BD58BF" w14:paraId="37C5AF93" w14:textId="77777777" w:rsidTr="00DA5CD9">
        <w:trPr>
          <w:trHeight w:val="20"/>
        </w:trPr>
        <w:tc>
          <w:tcPr>
            <w:tcW w:w="5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89039" w14:textId="77777777" w:rsidR="00C04FAE" w:rsidRPr="008812EF" w:rsidRDefault="00C04FAE" w:rsidP="008812EF">
            <w:pPr>
              <w:spacing w:after="0" w:line="240" w:lineRule="auto"/>
              <w:ind w:right="201"/>
              <w:jc w:val="both"/>
              <w:rPr>
                <w:rFonts w:ascii="Arial" w:eastAsia="Times New Roman" w:hAnsi="Arial" w:cs="Arial"/>
                <w:bCs/>
                <w:sz w:val="24"/>
                <w:szCs w:val="24"/>
                <w:lang w:eastAsia="pt-BR"/>
              </w:rPr>
            </w:pPr>
          </w:p>
        </w:tc>
        <w:tc>
          <w:tcPr>
            <w:tcW w:w="5669" w:type="dxa"/>
            <w:tcBorders>
              <w:top w:val="single" w:sz="4" w:space="0" w:color="auto"/>
              <w:left w:val="nil"/>
              <w:bottom w:val="single" w:sz="4" w:space="0" w:color="auto"/>
              <w:right w:val="single" w:sz="4" w:space="0" w:color="auto"/>
            </w:tcBorders>
            <w:shd w:val="clear" w:color="auto" w:fill="auto"/>
            <w:noWrap/>
            <w:vAlign w:val="center"/>
          </w:tcPr>
          <w:p w14:paraId="7AF3E9D2" w14:textId="7E0E6541" w:rsidR="00C04FAE" w:rsidRPr="00C04FAE" w:rsidRDefault="00C04FAE" w:rsidP="00A02D8F">
            <w:pPr>
              <w:spacing w:after="0" w:line="240" w:lineRule="auto"/>
              <w:jc w:val="both"/>
              <w:rPr>
                <w:rFonts w:ascii="Arial" w:eastAsia="Times New Roman" w:hAnsi="Arial" w:cs="Arial"/>
                <w:b/>
                <w:sz w:val="24"/>
                <w:szCs w:val="24"/>
                <w:lang w:eastAsia="pt-BR"/>
              </w:rPr>
            </w:pPr>
            <w:bookmarkStart w:id="2" w:name="_Hlk66202414"/>
            <w:r w:rsidRPr="00C04FAE">
              <w:rPr>
                <w:rFonts w:ascii="Arial" w:eastAsia="Times New Roman" w:hAnsi="Arial" w:cs="Arial"/>
                <w:b/>
                <w:sz w:val="24"/>
                <w:szCs w:val="24"/>
                <w:lang w:eastAsia="pt-BR"/>
              </w:rPr>
              <w:t>5.</w:t>
            </w:r>
            <w:r>
              <w:rPr>
                <w:rFonts w:ascii="Arial" w:eastAsia="Times New Roman" w:hAnsi="Arial" w:cs="Arial"/>
                <w:b/>
                <w:sz w:val="24"/>
                <w:szCs w:val="24"/>
                <w:lang w:eastAsia="pt-BR"/>
              </w:rPr>
              <w:t>11</w:t>
            </w:r>
            <w:r w:rsidRPr="00C04FAE">
              <w:rPr>
                <w:rFonts w:ascii="Arial" w:eastAsia="Times New Roman" w:hAnsi="Arial" w:cs="Arial"/>
                <w:b/>
                <w:sz w:val="24"/>
                <w:szCs w:val="24"/>
                <w:lang w:eastAsia="pt-BR"/>
              </w:rPr>
              <w:t xml:space="preserve"> É facultado ao Participante o pagamento de Contribuições Voluntárias, de valor e periodicidade livremente definidos, observado o mínimo de 10 (dez) Salários Unitários.</w:t>
            </w:r>
          </w:p>
          <w:p w14:paraId="03CCE87F" w14:textId="77777777" w:rsidR="00C04FAE" w:rsidRPr="00C04FAE" w:rsidRDefault="00C04FAE" w:rsidP="00A02D8F">
            <w:pPr>
              <w:spacing w:after="0" w:line="240" w:lineRule="auto"/>
              <w:jc w:val="both"/>
              <w:rPr>
                <w:rFonts w:ascii="Arial" w:eastAsia="Times New Roman" w:hAnsi="Arial" w:cs="Arial"/>
                <w:b/>
                <w:sz w:val="24"/>
                <w:szCs w:val="24"/>
                <w:lang w:eastAsia="pt-BR"/>
              </w:rPr>
            </w:pPr>
          </w:p>
          <w:p w14:paraId="425100BA" w14:textId="77777777" w:rsidR="00C04FAE" w:rsidRDefault="00C04FAE" w:rsidP="00A02D8F">
            <w:pPr>
              <w:spacing w:after="0" w:line="240" w:lineRule="auto"/>
              <w:jc w:val="both"/>
              <w:rPr>
                <w:rFonts w:ascii="Arial" w:eastAsia="Times New Roman" w:hAnsi="Arial" w:cs="Arial"/>
                <w:bCs/>
                <w:sz w:val="24"/>
                <w:szCs w:val="24"/>
                <w:lang w:eastAsia="pt-BR"/>
              </w:rPr>
            </w:pPr>
            <w:r w:rsidRPr="00C04FAE">
              <w:rPr>
                <w:rFonts w:ascii="Arial" w:eastAsia="Times New Roman" w:hAnsi="Arial" w:cs="Arial"/>
                <w:b/>
                <w:sz w:val="24"/>
                <w:szCs w:val="24"/>
                <w:lang w:eastAsia="pt-BR"/>
              </w:rPr>
              <w:t>5.</w:t>
            </w:r>
            <w:r>
              <w:rPr>
                <w:rFonts w:ascii="Arial" w:eastAsia="Times New Roman" w:hAnsi="Arial" w:cs="Arial"/>
                <w:b/>
                <w:sz w:val="24"/>
                <w:szCs w:val="24"/>
                <w:lang w:eastAsia="pt-BR"/>
              </w:rPr>
              <w:t>11</w:t>
            </w:r>
            <w:r w:rsidRPr="00C04FAE">
              <w:rPr>
                <w:rFonts w:ascii="Arial" w:eastAsia="Times New Roman" w:hAnsi="Arial" w:cs="Arial"/>
                <w:b/>
                <w:sz w:val="24"/>
                <w:szCs w:val="24"/>
                <w:lang w:eastAsia="pt-BR"/>
              </w:rPr>
              <w:t>.1. O pagamento da Contribuiç</w:t>
            </w:r>
            <w:r>
              <w:rPr>
                <w:rFonts w:ascii="Arial" w:eastAsia="Times New Roman" w:hAnsi="Arial" w:cs="Arial"/>
                <w:b/>
                <w:sz w:val="24"/>
                <w:szCs w:val="24"/>
                <w:lang w:eastAsia="pt-BR"/>
              </w:rPr>
              <w:t>ã</w:t>
            </w:r>
            <w:r w:rsidRPr="00C04FAE">
              <w:rPr>
                <w:rFonts w:ascii="Arial" w:eastAsia="Times New Roman" w:hAnsi="Arial" w:cs="Arial"/>
                <w:b/>
                <w:sz w:val="24"/>
                <w:szCs w:val="24"/>
                <w:lang w:eastAsia="pt-BR"/>
              </w:rPr>
              <w:t xml:space="preserve">o Voluntária será feito pelos meios definidos pelo Instituto Ambev, mediante requerimento. </w:t>
            </w:r>
            <w:r>
              <w:rPr>
                <w:rFonts w:ascii="Arial" w:eastAsia="Times New Roman" w:hAnsi="Arial" w:cs="Arial"/>
                <w:bCs/>
                <w:sz w:val="24"/>
                <w:szCs w:val="24"/>
                <w:lang w:eastAsia="pt-BR"/>
              </w:rPr>
              <w:t xml:space="preserve"> </w:t>
            </w:r>
            <w:bookmarkEnd w:id="2"/>
          </w:p>
          <w:p w14:paraId="65834575" w14:textId="77777777" w:rsidR="005E7CCF" w:rsidRDefault="005E7CCF" w:rsidP="00A02D8F">
            <w:pPr>
              <w:spacing w:after="0" w:line="240" w:lineRule="auto"/>
              <w:jc w:val="both"/>
              <w:rPr>
                <w:rFonts w:ascii="Arial" w:eastAsia="Times New Roman" w:hAnsi="Arial" w:cs="Arial"/>
                <w:bCs/>
                <w:sz w:val="24"/>
                <w:szCs w:val="24"/>
                <w:lang w:eastAsia="pt-BR"/>
              </w:rPr>
            </w:pPr>
          </w:p>
          <w:p w14:paraId="7741BC56" w14:textId="47B360A4" w:rsidR="005E7CCF" w:rsidRPr="005E7CCF" w:rsidRDefault="005E7CCF" w:rsidP="00A02D8F">
            <w:pPr>
              <w:spacing w:after="0" w:line="240" w:lineRule="auto"/>
              <w:jc w:val="both"/>
              <w:rPr>
                <w:rFonts w:ascii="Arial" w:eastAsia="Times New Roman" w:hAnsi="Arial" w:cs="Arial"/>
                <w:b/>
                <w:sz w:val="24"/>
                <w:szCs w:val="24"/>
                <w:lang w:eastAsia="pt-BR"/>
              </w:rPr>
            </w:pPr>
            <w:r w:rsidRPr="005E7CCF">
              <w:rPr>
                <w:rFonts w:ascii="Arial" w:eastAsia="Times New Roman" w:hAnsi="Arial" w:cs="Arial"/>
                <w:b/>
                <w:sz w:val="24"/>
                <w:szCs w:val="24"/>
                <w:lang w:eastAsia="pt-BR"/>
              </w:rPr>
              <w:lastRenderedPageBreak/>
              <w:t>5.</w:t>
            </w:r>
            <w:r>
              <w:rPr>
                <w:rFonts w:ascii="Arial" w:eastAsia="Times New Roman" w:hAnsi="Arial" w:cs="Arial"/>
                <w:b/>
                <w:sz w:val="24"/>
                <w:szCs w:val="24"/>
                <w:lang w:eastAsia="pt-BR"/>
              </w:rPr>
              <w:t>11</w:t>
            </w:r>
            <w:r w:rsidRPr="005E7CCF">
              <w:rPr>
                <w:rFonts w:ascii="Arial" w:eastAsia="Times New Roman" w:hAnsi="Arial" w:cs="Arial"/>
                <w:b/>
                <w:sz w:val="24"/>
                <w:szCs w:val="24"/>
                <w:lang w:eastAsia="pt-BR"/>
              </w:rPr>
              <w:t>.2</w:t>
            </w:r>
            <w:r w:rsidRPr="005E7CCF">
              <w:rPr>
                <w:rFonts w:ascii="Arial" w:eastAsia="Times New Roman" w:hAnsi="Arial" w:cs="Arial"/>
                <w:b/>
                <w:sz w:val="24"/>
                <w:szCs w:val="24"/>
                <w:lang w:eastAsia="pt-BR"/>
              </w:rPr>
              <w:tab/>
              <w:t xml:space="preserve">Não haverá contrapartida da patrocinadora para a Contribuição </w:t>
            </w:r>
            <w:r>
              <w:rPr>
                <w:rFonts w:ascii="Arial" w:eastAsia="Times New Roman" w:hAnsi="Arial" w:cs="Arial"/>
                <w:b/>
                <w:sz w:val="24"/>
                <w:szCs w:val="24"/>
                <w:lang w:eastAsia="pt-BR"/>
              </w:rPr>
              <w:t xml:space="preserve">Voluntária </w:t>
            </w:r>
            <w:bookmarkStart w:id="3" w:name="_GoBack"/>
            <w:bookmarkEnd w:id="3"/>
            <w:r w:rsidRPr="005E7CCF">
              <w:rPr>
                <w:rFonts w:ascii="Arial" w:eastAsia="Times New Roman" w:hAnsi="Arial" w:cs="Arial"/>
                <w:b/>
                <w:sz w:val="24"/>
                <w:szCs w:val="24"/>
                <w:lang w:eastAsia="pt-BR"/>
              </w:rPr>
              <w:t>do Participante.</w:t>
            </w:r>
          </w:p>
        </w:tc>
        <w:tc>
          <w:tcPr>
            <w:tcW w:w="4093" w:type="dxa"/>
            <w:tcBorders>
              <w:top w:val="single" w:sz="4" w:space="0" w:color="auto"/>
              <w:left w:val="nil"/>
              <w:bottom w:val="single" w:sz="4" w:space="0" w:color="auto"/>
              <w:right w:val="single" w:sz="4" w:space="0" w:color="auto"/>
            </w:tcBorders>
            <w:shd w:val="clear" w:color="auto" w:fill="auto"/>
            <w:noWrap/>
            <w:vAlign w:val="center"/>
          </w:tcPr>
          <w:p w14:paraId="2FE32315" w14:textId="44A8EB3C" w:rsidR="00C04FAE" w:rsidRDefault="00C04FAE" w:rsidP="008812EF">
            <w:pPr>
              <w:spacing w:after="0" w:line="240" w:lineRule="auto"/>
              <w:ind w:left="214"/>
              <w:jc w:val="center"/>
              <w:rPr>
                <w:rFonts w:ascii="Arial" w:eastAsia="Times New Roman" w:hAnsi="Arial" w:cs="Arial"/>
                <w:bCs/>
                <w:sz w:val="24"/>
                <w:szCs w:val="24"/>
                <w:lang w:eastAsia="pt-BR"/>
              </w:rPr>
            </w:pPr>
            <w:r>
              <w:rPr>
                <w:rFonts w:ascii="Arial" w:eastAsia="Times New Roman" w:hAnsi="Arial" w:cs="Arial"/>
                <w:bCs/>
                <w:sz w:val="24"/>
                <w:szCs w:val="24"/>
                <w:lang w:eastAsia="pt-BR"/>
              </w:rPr>
              <w:lastRenderedPageBreak/>
              <w:t xml:space="preserve">Inclusão da possibilidade de pagar contribuições voluntárias </w:t>
            </w:r>
            <w:proofErr w:type="spellStart"/>
            <w:r>
              <w:rPr>
                <w:rFonts w:ascii="Arial" w:eastAsia="Times New Roman" w:hAnsi="Arial" w:cs="Arial"/>
                <w:bCs/>
                <w:sz w:val="24"/>
                <w:szCs w:val="24"/>
                <w:lang w:eastAsia="pt-BR"/>
              </w:rPr>
              <w:t>extra-folha</w:t>
            </w:r>
            <w:proofErr w:type="spellEnd"/>
            <w:r>
              <w:rPr>
                <w:rFonts w:ascii="Arial" w:eastAsia="Times New Roman" w:hAnsi="Arial" w:cs="Arial"/>
                <w:bCs/>
                <w:sz w:val="24"/>
                <w:szCs w:val="24"/>
                <w:lang w:eastAsia="pt-BR"/>
              </w:rPr>
              <w:t>.</w:t>
            </w:r>
          </w:p>
        </w:tc>
      </w:tr>
      <w:tr w:rsidR="00C04FAE" w:rsidRPr="00BD58BF" w14:paraId="6515BAF8" w14:textId="77777777" w:rsidTr="00DA5CD9">
        <w:trPr>
          <w:trHeight w:val="20"/>
        </w:trPr>
        <w:tc>
          <w:tcPr>
            <w:tcW w:w="5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DD694" w14:textId="59B065A3" w:rsidR="00C04FAE" w:rsidRPr="008812EF" w:rsidRDefault="00C04FAE" w:rsidP="008812EF">
            <w:pPr>
              <w:spacing w:after="0" w:line="240" w:lineRule="auto"/>
              <w:ind w:right="201"/>
              <w:jc w:val="both"/>
              <w:rPr>
                <w:rFonts w:ascii="Arial" w:eastAsia="Times New Roman" w:hAnsi="Arial" w:cs="Arial"/>
                <w:bCs/>
                <w:sz w:val="24"/>
                <w:szCs w:val="24"/>
                <w:lang w:eastAsia="pt-BR"/>
              </w:rPr>
            </w:pPr>
            <w:r w:rsidRPr="00C04FAE">
              <w:rPr>
                <w:rFonts w:ascii="Arial" w:eastAsia="Times New Roman" w:hAnsi="Arial" w:cs="Arial"/>
                <w:bCs/>
                <w:sz w:val="24"/>
                <w:szCs w:val="24"/>
                <w:lang w:eastAsia="pt-BR"/>
              </w:rPr>
              <w:t>5.11</w:t>
            </w:r>
            <w:r w:rsidRPr="00C04FAE">
              <w:rPr>
                <w:rFonts w:ascii="Arial" w:eastAsia="Times New Roman" w:hAnsi="Arial" w:cs="Arial"/>
                <w:bCs/>
                <w:sz w:val="24"/>
                <w:szCs w:val="24"/>
                <w:lang w:eastAsia="pt-BR"/>
              </w:rPr>
              <w:tab/>
              <w:t>As Contribuições do Participante descritas nos itens 5.6, 5.7 e 5.8 serão creditadas e acumuladas na Conta de Participante.</w:t>
            </w:r>
          </w:p>
        </w:tc>
        <w:tc>
          <w:tcPr>
            <w:tcW w:w="5669" w:type="dxa"/>
            <w:tcBorders>
              <w:top w:val="single" w:sz="4" w:space="0" w:color="auto"/>
              <w:left w:val="nil"/>
              <w:bottom w:val="single" w:sz="4" w:space="0" w:color="auto"/>
              <w:right w:val="single" w:sz="4" w:space="0" w:color="auto"/>
            </w:tcBorders>
            <w:shd w:val="clear" w:color="auto" w:fill="auto"/>
            <w:noWrap/>
            <w:vAlign w:val="center"/>
          </w:tcPr>
          <w:p w14:paraId="0CADD1AC" w14:textId="3F62A14A" w:rsidR="00C04FAE" w:rsidRDefault="00C04FAE" w:rsidP="00A02D8F">
            <w:pPr>
              <w:spacing w:after="0" w:line="240" w:lineRule="auto"/>
              <w:jc w:val="both"/>
              <w:rPr>
                <w:rFonts w:ascii="Arial" w:eastAsia="Times New Roman" w:hAnsi="Arial" w:cs="Arial"/>
                <w:bCs/>
                <w:sz w:val="24"/>
                <w:szCs w:val="24"/>
                <w:lang w:eastAsia="pt-BR"/>
              </w:rPr>
            </w:pPr>
            <w:r w:rsidRPr="00C04FAE">
              <w:rPr>
                <w:rFonts w:ascii="Arial" w:eastAsia="Times New Roman" w:hAnsi="Arial" w:cs="Arial"/>
                <w:b/>
                <w:sz w:val="24"/>
                <w:szCs w:val="24"/>
                <w:lang w:eastAsia="pt-BR"/>
              </w:rPr>
              <w:t>5.11.</w:t>
            </w:r>
            <w:r w:rsidR="005E7CCF">
              <w:rPr>
                <w:rFonts w:ascii="Arial" w:eastAsia="Times New Roman" w:hAnsi="Arial" w:cs="Arial"/>
                <w:b/>
                <w:sz w:val="24"/>
                <w:szCs w:val="24"/>
                <w:lang w:eastAsia="pt-BR"/>
              </w:rPr>
              <w:t>3</w:t>
            </w:r>
            <w:r w:rsidRPr="00C04FAE">
              <w:rPr>
                <w:rFonts w:ascii="Arial" w:eastAsia="Times New Roman" w:hAnsi="Arial" w:cs="Arial"/>
                <w:b/>
                <w:sz w:val="24"/>
                <w:szCs w:val="24"/>
                <w:lang w:eastAsia="pt-BR"/>
              </w:rPr>
              <w:t xml:space="preserve">. </w:t>
            </w:r>
            <w:bookmarkStart w:id="4" w:name="_Hlk66202472"/>
            <w:r w:rsidRPr="00C04FAE">
              <w:rPr>
                <w:rFonts w:ascii="Arial" w:eastAsia="Times New Roman" w:hAnsi="Arial" w:cs="Arial"/>
                <w:bCs/>
                <w:sz w:val="24"/>
                <w:szCs w:val="24"/>
                <w:lang w:eastAsia="pt-BR"/>
              </w:rPr>
              <w:t xml:space="preserve">As Contribuições </w:t>
            </w:r>
            <w:r w:rsidRPr="00C04FAE">
              <w:rPr>
                <w:rFonts w:ascii="Arial" w:eastAsia="Times New Roman" w:hAnsi="Arial" w:cs="Arial"/>
                <w:b/>
                <w:sz w:val="24"/>
                <w:szCs w:val="24"/>
                <w:lang w:eastAsia="pt-BR"/>
              </w:rPr>
              <w:t>Voluntárias</w:t>
            </w:r>
            <w:r>
              <w:rPr>
                <w:rFonts w:ascii="Arial" w:eastAsia="Times New Roman" w:hAnsi="Arial" w:cs="Arial"/>
                <w:bCs/>
                <w:sz w:val="24"/>
                <w:szCs w:val="24"/>
                <w:lang w:eastAsia="pt-BR"/>
              </w:rPr>
              <w:t xml:space="preserve"> </w:t>
            </w:r>
            <w:r w:rsidRPr="00C04FAE">
              <w:rPr>
                <w:rFonts w:ascii="Arial" w:eastAsia="Times New Roman" w:hAnsi="Arial" w:cs="Arial"/>
                <w:bCs/>
                <w:sz w:val="24"/>
                <w:szCs w:val="24"/>
                <w:lang w:eastAsia="pt-BR"/>
              </w:rPr>
              <w:t>do Participante</w:t>
            </w:r>
            <w:r>
              <w:rPr>
                <w:rFonts w:ascii="Arial" w:eastAsia="Times New Roman" w:hAnsi="Arial" w:cs="Arial"/>
                <w:bCs/>
                <w:sz w:val="24"/>
                <w:szCs w:val="24"/>
                <w:lang w:eastAsia="pt-BR"/>
              </w:rPr>
              <w:t xml:space="preserve">, </w:t>
            </w:r>
            <w:r w:rsidRPr="00C04FAE">
              <w:rPr>
                <w:rFonts w:ascii="Arial" w:eastAsia="Times New Roman" w:hAnsi="Arial" w:cs="Arial"/>
                <w:b/>
                <w:sz w:val="24"/>
                <w:szCs w:val="24"/>
                <w:lang w:eastAsia="pt-BR"/>
              </w:rPr>
              <w:t>assim como aquelas</w:t>
            </w:r>
            <w:r w:rsidRPr="00C04FAE">
              <w:rPr>
                <w:rFonts w:ascii="Arial" w:eastAsia="Times New Roman" w:hAnsi="Arial" w:cs="Arial"/>
                <w:bCs/>
                <w:sz w:val="24"/>
                <w:szCs w:val="24"/>
                <w:lang w:eastAsia="pt-BR"/>
              </w:rPr>
              <w:t xml:space="preserve"> descritas nos itens 5.6, 5.7 e 5.8</w:t>
            </w:r>
            <w:r>
              <w:rPr>
                <w:rFonts w:ascii="Arial" w:eastAsia="Times New Roman" w:hAnsi="Arial" w:cs="Arial"/>
                <w:bCs/>
                <w:sz w:val="24"/>
                <w:szCs w:val="24"/>
                <w:lang w:eastAsia="pt-BR"/>
              </w:rPr>
              <w:t>,</w:t>
            </w:r>
            <w:r w:rsidRPr="00C04FAE">
              <w:rPr>
                <w:rFonts w:ascii="Arial" w:eastAsia="Times New Roman" w:hAnsi="Arial" w:cs="Arial"/>
                <w:bCs/>
                <w:sz w:val="24"/>
                <w:szCs w:val="24"/>
                <w:lang w:eastAsia="pt-BR"/>
              </w:rPr>
              <w:t xml:space="preserve"> serão creditadas e acumuladas na Conta de Participante.</w:t>
            </w:r>
            <w:bookmarkEnd w:id="4"/>
          </w:p>
        </w:tc>
        <w:tc>
          <w:tcPr>
            <w:tcW w:w="4093" w:type="dxa"/>
            <w:tcBorders>
              <w:top w:val="single" w:sz="4" w:space="0" w:color="auto"/>
              <w:left w:val="nil"/>
              <w:bottom w:val="single" w:sz="4" w:space="0" w:color="auto"/>
              <w:right w:val="single" w:sz="4" w:space="0" w:color="auto"/>
            </w:tcBorders>
            <w:shd w:val="clear" w:color="auto" w:fill="auto"/>
            <w:noWrap/>
            <w:vAlign w:val="center"/>
          </w:tcPr>
          <w:p w14:paraId="0351682A" w14:textId="34ADF6F6" w:rsidR="00C04FAE" w:rsidRDefault="00C04FAE" w:rsidP="008812EF">
            <w:pPr>
              <w:spacing w:after="0" w:line="240" w:lineRule="auto"/>
              <w:ind w:left="214"/>
              <w:jc w:val="center"/>
              <w:rPr>
                <w:rFonts w:ascii="Arial" w:eastAsia="Times New Roman" w:hAnsi="Arial" w:cs="Arial"/>
                <w:bCs/>
                <w:sz w:val="24"/>
                <w:szCs w:val="24"/>
                <w:lang w:eastAsia="pt-BR"/>
              </w:rPr>
            </w:pPr>
            <w:r>
              <w:rPr>
                <w:rFonts w:ascii="Arial" w:eastAsia="Times New Roman" w:hAnsi="Arial" w:cs="Arial"/>
                <w:bCs/>
                <w:sz w:val="24"/>
                <w:szCs w:val="24"/>
                <w:lang w:eastAsia="pt-BR"/>
              </w:rPr>
              <w:t>Renumeração.</w:t>
            </w:r>
          </w:p>
        </w:tc>
      </w:tr>
      <w:tr w:rsidR="00F21707" w:rsidRPr="00BD58BF" w14:paraId="7738BB9D" w14:textId="77777777" w:rsidTr="00DA5CD9">
        <w:trPr>
          <w:trHeight w:val="20"/>
        </w:trPr>
        <w:tc>
          <w:tcPr>
            <w:tcW w:w="5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0956B" w14:textId="77777777" w:rsidR="008812EF" w:rsidRPr="008812EF" w:rsidRDefault="008812EF" w:rsidP="008812EF">
            <w:pPr>
              <w:spacing w:after="0" w:line="240" w:lineRule="auto"/>
              <w:ind w:right="201"/>
              <w:jc w:val="both"/>
              <w:rPr>
                <w:rFonts w:ascii="Arial" w:eastAsia="Times New Roman" w:hAnsi="Arial" w:cs="Arial"/>
                <w:bCs/>
                <w:sz w:val="24"/>
                <w:szCs w:val="24"/>
                <w:lang w:eastAsia="pt-BR"/>
              </w:rPr>
            </w:pPr>
            <w:r w:rsidRPr="008812EF">
              <w:rPr>
                <w:rFonts w:ascii="Arial" w:eastAsia="Times New Roman" w:hAnsi="Arial" w:cs="Arial"/>
                <w:bCs/>
                <w:sz w:val="24"/>
                <w:szCs w:val="24"/>
                <w:lang w:eastAsia="pt-BR"/>
              </w:rPr>
              <w:t>5.19</w:t>
            </w:r>
            <w:r w:rsidRPr="008812EF">
              <w:rPr>
                <w:rFonts w:ascii="Arial" w:eastAsia="Times New Roman" w:hAnsi="Arial" w:cs="Arial"/>
                <w:bCs/>
                <w:sz w:val="24"/>
                <w:szCs w:val="24"/>
                <w:lang w:eastAsia="pt-BR"/>
              </w:rPr>
              <w:tab/>
              <w:t>A falta de recolhimento das contribuições no prazo estipulado neste Regulamento acarretará as seguintes penalidades:</w:t>
            </w:r>
          </w:p>
          <w:p w14:paraId="376116BE" w14:textId="77777777" w:rsidR="008812EF" w:rsidRPr="008812EF" w:rsidRDefault="008812EF" w:rsidP="008812EF">
            <w:pPr>
              <w:spacing w:after="0" w:line="240" w:lineRule="auto"/>
              <w:ind w:right="201"/>
              <w:jc w:val="both"/>
              <w:rPr>
                <w:rFonts w:ascii="Arial" w:eastAsia="Times New Roman" w:hAnsi="Arial" w:cs="Arial"/>
                <w:bCs/>
                <w:sz w:val="24"/>
                <w:szCs w:val="24"/>
                <w:lang w:eastAsia="pt-BR"/>
              </w:rPr>
            </w:pPr>
            <w:r w:rsidRPr="008812EF">
              <w:rPr>
                <w:rFonts w:ascii="Arial" w:eastAsia="Times New Roman" w:hAnsi="Arial" w:cs="Arial"/>
                <w:bCs/>
                <w:sz w:val="24"/>
                <w:szCs w:val="24"/>
                <w:lang w:eastAsia="pt-BR"/>
              </w:rPr>
              <w:t>I</w:t>
            </w:r>
            <w:r w:rsidRPr="008812EF">
              <w:rPr>
                <w:rFonts w:ascii="Arial" w:eastAsia="Times New Roman" w:hAnsi="Arial" w:cs="Arial"/>
                <w:bCs/>
                <w:sz w:val="24"/>
                <w:szCs w:val="24"/>
                <w:lang w:eastAsia="pt-BR"/>
              </w:rPr>
              <w:tab/>
              <w:t>multa de 5% (cinco por cento) sobre o valor não recolhido;</w:t>
            </w:r>
          </w:p>
          <w:p w14:paraId="22B24DF1" w14:textId="77777777" w:rsidR="008812EF" w:rsidRPr="008812EF" w:rsidRDefault="008812EF" w:rsidP="008812EF">
            <w:pPr>
              <w:spacing w:after="0" w:line="240" w:lineRule="auto"/>
              <w:ind w:right="201"/>
              <w:jc w:val="both"/>
              <w:rPr>
                <w:rFonts w:ascii="Arial" w:eastAsia="Times New Roman" w:hAnsi="Arial" w:cs="Arial"/>
                <w:bCs/>
                <w:sz w:val="24"/>
                <w:szCs w:val="24"/>
                <w:lang w:eastAsia="pt-BR"/>
              </w:rPr>
            </w:pPr>
            <w:r w:rsidRPr="008812EF">
              <w:rPr>
                <w:rFonts w:ascii="Arial" w:eastAsia="Times New Roman" w:hAnsi="Arial" w:cs="Arial"/>
                <w:bCs/>
                <w:sz w:val="24"/>
                <w:szCs w:val="24"/>
                <w:lang w:eastAsia="pt-BR"/>
              </w:rPr>
              <w:t>II</w:t>
            </w:r>
            <w:r w:rsidRPr="008812EF">
              <w:rPr>
                <w:rFonts w:ascii="Arial" w:eastAsia="Times New Roman" w:hAnsi="Arial" w:cs="Arial"/>
                <w:bCs/>
                <w:sz w:val="24"/>
                <w:szCs w:val="24"/>
                <w:lang w:eastAsia="pt-BR"/>
              </w:rPr>
              <w:tab/>
              <w:t>juros de 1% (um por cento) ao mês ou sua equivalência diária;</w:t>
            </w:r>
          </w:p>
          <w:p w14:paraId="1110A6BC" w14:textId="2D64E501" w:rsidR="00F21707" w:rsidRPr="00F21707" w:rsidRDefault="008812EF" w:rsidP="008812EF">
            <w:pPr>
              <w:spacing w:after="0" w:line="240" w:lineRule="auto"/>
              <w:ind w:right="201"/>
              <w:jc w:val="both"/>
              <w:rPr>
                <w:rFonts w:ascii="Arial" w:eastAsia="Times New Roman" w:hAnsi="Arial" w:cs="Arial"/>
                <w:bCs/>
                <w:sz w:val="24"/>
                <w:szCs w:val="24"/>
                <w:lang w:eastAsia="pt-BR"/>
              </w:rPr>
            </w:pPr>
            <w:r w:rsidRPr="008812EF">
              <w:rPr>
                <w:rFonts w:ascii="Arial" w:eastAsia="Times New Roman" w:hAnsi="Arial" w:cs="Arial"/>
                <w:bCs/>
                <w:sz w:val="24"/>
                <w:szCs w:val="24"/>
                <w:lang w:eastAsia="pt-BR"/>
              </w:rPr>
              <w:t>III</w:t>
            </w:r>
            <w:r w:rsidRPr="008812EF">
              <w:rPr>
                <w:rFonts w:ascii="Arial" w:eastAsia="Times New Roman" w:hAnsi="Arial" w:cs="Arial"/>
                <w:bCs/>
                <w:sz w:val="24"/>
                <w:szCs w:val="24"/>
                <w:lang w:eastAsia="pt-BR"/>
              </w:rPr>
              <w:tab/>
              <w:t>atualização monetária com base na variação do IGP-DI do período decorrido desde a data do vencimento de cada importância até a data do efetivo pagamento.</w:t>
            </w:r>
          </w:p>
        </w:tc>
        <w:tc>
          <w:tcPr>
            <w:tcW w:w="5669" w:type="dxa"/>
            <w:tcBorders>
              <w:top w:val="single" w:sz="4" w:space="0" w:color="auto"/>
              <w:left w:val="nil"/>
              <w:bottom w:val="single" w:sz="4" w:space="0" w:color="auto"/>
              <w:right w:val="single" w:sz="4" w:space="0" w:color="auto"/>
            </w:tcBorders>
            <w:shd w:val="clear" w:color="auto" w:fill="auto"/>
            <w:noWrap/>
            <w:vAlign w:val="center"/>
          </w:tcPr>
          <w:p w14:paraId="545C4002" w14:textId="77777777" w:rsidR="00F21707" w:rsidRDefault="00F21707" w:rsidP="00A02D8F">
            <w:pPr>
              <w:spacing w:after="0" w:line="240" w:lineRule="auto"/>
              <w:jc w:val="both"/>
              <w:rPr>
                <w:rFonts w:ascii="Arial" w:eastAsia="Times New Roman" w:hAnsi="Arial" w:cs="Arial"/>
                <w:bCs/>
                <w:sz w:val="24"/>
                <w:szCs w:val="24"/>
                <w:lang w:eastAsia="pt-BR"/>
              </w:rPr>
            </w:pPr>
          </w:p>
          <w:p w14:paraId="7B74EC3F" w14:textId="77777777" w:rsidR="008812EF" w:rsidRDefault="008812EF" w:rsidP="00A02D8F">
            <w:pPr>
              <w:spacing w:after="0" w:line="240" w:lineRule="auto"/>
              <w:jc w:val="both"/>
              <w:rPr>
                <w:rFonts w:ascii="Arial" w:eastAsia="Times New Roman" w:hAnsi="Arial" w:cs="Arial"/>
                <w:bCs/>
                <w:sz w:val="24"/>
                <w:szCs w:val="24"/>
                <w:lang w:eastAsia="pt-BR"/>
              </w:rPr>
            </w:pPr>
          </w:p>
          <w:p w14:paraId="1DA48A7B" w14:textId="77777777" w:rsidR="008812EF" w:rsidRDefault="008812EF" w:rsidP="00A02D8F">
            <w:pPr>
              <w:spacing w:after="0" w:line="240" w:lineRule="auto"/>
              <w:jc w:val="both"/>
              <w:rPr>
                <w:rFonts w:ascii="Arial" w:eastAsia="Times New Roman" w:hAnsi="Arial" w:cs="Arial"/>
                <w:bCs/>
                <w:sz w:val="24"/>
                <w:szCs w:val="24"/>
                <w:lang w:eastAsia="pt-BR"/>
              </w:rPr>
            </w:pPr>
          </w:p>
          <w:p w14:paraId="4E889C23" w14:textId="77777777" w:rsidR="008812EF" w:rsidRDefault="008812EF" w:rsidP="00A02D8F">
            <w:pPr>
              <w:spacing w:after="0" w:line="240" w:lineRule="auto"/>
              <w:jc w:val="both"/>
              <w:rPr>
                <w:rFonts w:ascii="Arial" w:eastAsia="Times New Roman" w:hAnsi="Arial" w:cs="Arial"/>
                <w:bCs/>
                <w:sz w:val="24"/>
                <w:szCs w:val="24"/>
                <w:lang w:eastAsia="pt-BR"/>
              </w:rPr>
            </w:pPr>
          </w:p>
          <w:p w14:paraId="0B231133" w14:textId="55E30D93" w:rsidR="008812EF" w:rsidRDefault="008812EF" w:rsidP="00A02D8F">
            <w:pPr>
              <w:spacing w:after="0" w:line="240" w:lineRule="auto"/>
              <w:jc w:val="both"/>
              <w:rPr>
                <w:rFonts w:ascii="Arial" w:eastAsia="Times New Roman" w:hAnsi="Arial" w:cs="Arial"/>
                <w:bCs/>
                <w:sz w:val="24"/>
                <w:szCs w:val="24"/>
                <w:lang w:eastAsia="pt-BR"/>
              </w:rPr>
            </w:pPr>
          </w:p>
          <w:p w14:paraId="028CA33D" w14:textId="685EFEAD" w:rsidR="008812EF" w:rsidRDefault="008812EF" w:rsidP="00A02D8F">
            <w:pPr>
              <w:spacing w:after="0" w:line="240" w:lineRule="auto"/>
              <w:jc w:val="both"/>
              <w:rPr>
                <w:rFonts w:ascii="Arial" w:eastAsia="Times New Roman" w:hAnsi="Arial" w:cs="Arial"/>
                <w:bCs/>
                <w:sz w:val="24"/>
                <w:szCs w:val="24"/>
                <w:lang w:eastAsia="pt-BR"/>
              </w:rPr>
            </w:pPr>
          </w:p>
          <w:p w14:paraId="1F5D1070" w14:textId="77777777" w:rsidR="008812EF" w:rsidRDefault="008812EF" w:rsidP="00A02D8F">
            <w:pPr>
              <w:spacing w:after="0" w:line="240" w:lineRule="auto"/>
              <w:jc w:val="both"/>
              <w:rPr>
                <w:rFonts w:ascii="Arial" w:eastAsia="Times New Roman" w:hAnsi="Arial" w:cs="Arial"/>
                <w:bCs/>
                <w:sz w:val="24"/>
                <w:szCs w:val="24"/>
                <w:lang w:eastAsia="pt-BR"/>
              </w:rPr>
            </w:pPr>
          </w:p>
          <w:p w14:paraId="46D93052" w14:textId="1A6954B3" w:rsidR="008812EF" w:rsidRPr="00F21707" w:rsidRDefault="008812EF" w:rsidP="00A02D8F">
            <w:pPr>
              <w:spacing w:after="0" w:line="240" w:lineRule="auto"/>
              <w:jc w:val="both"/>
              <w:rPr>
                <w:rFonts w:ascii="Arial" w:eastAsia="Times New Roman" w:hAnsi="Arial" w:cs="Arial"/>
                <w:bCs/>
                <w:sz w:val="24"/>
                <w:szCs w:val="24"/>
                <w:lang w:eastAsia="pt-BR"/>
              </w:rPr>
            </w:pPr>
            <w:r>
              <w:rPr>
                <w:rFonts w:ascii="Arial" w:eastAsia="Times New Roman" w:hAnsi="Arial" w:cs="Arial"/>
                <w:bCs/>
                <w:sz w:val="24"/>
                <w:szCs w:val="24"/>
                <w:lang w:eastAsia="pt-BR"/>
              </w:rPr>
              <w:t xml:space="preserve">III </w:t>
            </w:r>
            <w:r w:rsidRPr="008812EF">
              <w:rPr>
                <w:rFonts w:ascii="Arial" w:eastAsia="Times New Roman" w:hAnsi="Arial" w:cs="Arial"/>
                <w:bCs/>
                <w:sz w:val="24"/>
                <w:szCs w:val="24"/>
                <w:lang w:eastAsia="pt-BR"/>
              </w:rPr>
              <w:t xml:space="preserve">atualização monetária com base na variação do </w:t>
            </w:r>
            <w:r w:rsidRPr="008812EF">
              <w:rPr>
                <w:rFonts w:ascii="Arial" w:eastAsia="Times New Roman" w:hAnsi="Arial" w:cs="Arial"/>
                <w:b/>
                <w:sz w:val="24"/>
                <w:szCs w:val="24"/>
                <w:lang w:eastAsia="pt-BR"/>
              </w:rPr>
              <w:t>Índice do Plano</w:t>
            </w:r>
            <w:r w:rsidRPr="008812EF">
              <w:rPr>
                <w:rFonts w:ascii="Arial" w:eastAsia="Times New Roman" w:hAnsi="Arial" w:cs="Arial"/>
                <w:bCs/>
                <w:sz w:val="24"/>
                <w:szCs w:val="24"/>
                <w:lang w:eastAsia="pt-BR"/>
              </w:rPr>
              <w:t xml:space="preserve"> do período decorrido desde a data do vencimento de cada importância até a data do efetivo pagamento.</w:t>
            </w:r>
          </w:p>
        </w:tc>
        <w:tc>
          <w:tcPr>
            <w:tcW w:w="4093" w:type="dxa"/>
            <w:tcBorders>
              <w:top w:val="single" w:sz="4" w:space="0" w:color="auto"/>
              <w:left w:val="nil"/>
              <w:bottom w:val="single" w:sz="4" w:space="0" w:color="auto"/>
              <w:right w:val="single" w:sz="4" w:space="0" w:color="auto"/>
            </w:tcBorders>
            <w:shd w:val="clear" w:color="auto" w:fill="auto"/>
            <w:noWrap/>
            <w:vAlign w:val="center"/>
          </w:tcPr>
          <w:p w14:paraId="224D4B8C" w14:textId="77777777" w:rsidR="008812EF" w:rsidRDefault="008812EF" w:rsidP="008812EF">
            <w:pPr>
              <w:spacing w:after="0" w:line="240" w:lineRule="auto"/>
              <w:ind w:left="214"/>
              <w:jc w:val="center"/>
              <w:rPr>
                <w:rFonts w:ascii="Arial" w:eastAsia="Times New Roman" w:hAnsi="Arial" w:cs="Arial"/>
                <w:bCs/>
                <w:sz w:val="24"/>
                <w:szCs w:val="24"/>
                <w:lang w:eastAsia="pt-BR"/>
              </w:rPr>
            </w:pPr>
          </w:p>
          <w:p w14:paraId="6E6EBD6A" w14:textId="77777777" w:rsidR="008812EF" w:rsidRDefault="008812EF" w:rsidP="008812EF">
            <w:pPr>
              <w:spacing w:after="0" w:line="240" w:lineRule="auto"/>
              <w:ind w:left="214"/>
              <w:jc w:val="center"/>
              <w:rPr>
                <w:rFonts w:ascii="Arial" w:eastAsia="Times New Roman" w:hAnsi="Arial" w:cs="Arial"/>
                <w:bCs/>
                <w:sz w:val="24"/>
                <w:szCs w:val="24"/>
                <w:lang w:eastAsia="pt-BR"/>
              </w:rPr>
            </w:pPr>
          </w:p>
          <w:p w14:paraId="35FB8A51" w14:textId="77777777" w:rsidR="008812EF" w:rsidRDefault="008812EF" w:rsidP="008812EF">
            <w:pPr>
              <w:spacing w:after="0" w:line="240" w:lineRule="auto"/>
              <w:ind w:left="214"/>
              <w:jc w:val="center"/>
              <w:rPr>
                <w:rFonts w:ascii="Arial" w:eastAsia="Times New Roman" w:hAnsi="Arial" w:cs="Arial"/>
                <w:bCs/>
                <w:sz w:val="24"/>
                <w:szCs w:val="24"/>
                <w:lang w:eastAsia="pt-BR"/>
              </w:rPr>
            </w:pPr>
          </w:p>
          <w:p w14:paraId="374DD78A" w14:textId="77777777" w:rsidR="008812EF" w:rsidRDefault="008812EF" w:rsidP="008812EF">
            <w:pPr>
              <w:spacing w:after="0" w:line="240" w:lineRule="auto"/>
              <w:ind w:left="214"/>
              <w:jc w:val="center"/>
              <w:rPr>
                <w:rFonts w:ascii="Arial" w:eastAsia="Times New Roman" w:hAnsi="Arial" w:cs="Arial"/>
                <w:bCs/>
                <w:sz w:val="24"/>
                <w:szCs w:val="24"/>
                <w:lang w:eastAsia="pt-BR"/>
              </w:rPr>
            </w:pPr>
          </w:p>
          <w:p w14:paraId="151F9235" w14:textId="0DF62749" w:rsidR="00F21707" w:rsidRPr="00F21707" w:rsidRDefault="008812EF" w:rsidP="008812EF">
            <w:pPr>
              <w:spacing w:after="0" w:line="240" w:lineRule="auto"/>
              <w:ind w:left="214"/>
              <w:jc w:val="center"/>
              <w:rPr>
                <w:rFonts w:ascii="Arial" w:eastAsia="Times New Roman" w:hAnsi="Arial" w:cs="Arial"/>
                <w:bCs/>
                <w:sz w:val="24"/>
                <w:szCs w:val="24"/>
                <w:lang w:eastAsia="pt-BR"/>
              </w:rPr>
            </w:pPr>
            <w:r>
              <w:rPr>
                <w:rFonts w:ascii="Arial" w:eastAsia="Times New Roman" w:hAnsi="Arial" w:cs="Arial"/>
                <w:bCs/>
                <w:sz w:val="24"/>
                <w:szCs w:val="24"/>
                <w:lang w:eastAsia="pt-BR"/>
              </w:rPr>
              <w:t>Substituição do indexador do plano.</w:t>
            </w:r>
          </w:p>
        </w:tc>
      </w:tr>
      <w:tr w:rsidR="00244066" w:rsidRPr="00BD58BF" w14:paraId="65689D0E" w14:textId="77777777" w:rsidTr="00DA5CD9">
        <w:trPr>
          <w:trHeight w:val="20"/>
        </w:trPr>
        <w:tc>
          <w:tcPr>
            <w:tcW w:w="5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EBEC2" w14:textId="50190D9A" w:rsidR="00244066" w:rsidRDefault="00244066" w:rsidP="00244066">
            <w:pPr>
              <w:spacing w:after="0" w:line="240" w:lineRule="auto"/>
              <w:ind w:right="201"/>
              <w:jc w:val="both"/>
              <w:rPr>
                <w:rFonts w:ascii="Arial" w:eastAsia="Times New Roman" w:hAnsi="Arial" w:cs="Arial"/>
                <w:bCs/>
                <w:sz w:val="24"/>
                <w:szCs w:val="24"/>
                <w:lang w:eastAsia="pt-BR"/>
              </w:rPr>
            </w:pPr>
            <w:r w:rsidRPr="00244066">
              <w:rPr>
                <w:rFonts w:ascii="Arial" w:eastAsia="Times New Roman" w:hAnsi="Arial" w:cs="Arial"/>
                <w:bCs/>
                <w:sz w:val="24"/>
                <w:szCs w:val="24"/>
                <w:lang w:eastAsia="pt-BR"/>
              </w:rPr>
              <w:t>8.9.1</w:t>
            </w:r>
            <w:r w:rsidRPr="00244066">
              <w:rPr>
                <w:rFonts w:ascii="Arial" w:eastAsia="Times New Roman" w:hAnsi="Arial" w:cs="Arial"/>
                <w:bCs/>
                <w:sz w:val="24"/>
                <w:szCs w:val="24"/>
                <w:lang w:eastAsia="pt-BR"/>
              </w:rPr>
              <w:tab/>
              <w:t>O Participante que tiver direito a receber Benefício de Aposentadoria Normal, Aposentadoria Antecipada ou Benefício Proporcional Diferido poderá optar por receber até 25% (vinte e cinco por cento) do Saldo de Conta Total, na forma de pagamento único, sendo o valor restante transformado em:</w:t>
            </w:r>
          </w:p>
          <w:p w14:paraId="6C2BC02F" w14:textId="77777777" w:rsidR="00244066" w:rsidRPr="00244066" w:rsidRDefault="00244066" w:rsidP="00244066">
            <w:pPr>
              <w:spacing w:after="0" w:line="240" w:lineRule="auto"/>
              <w:ind w:right="201"/>
              <w:jc w:val="both"/>
              <w:rPr>
                <w:rFonts w:ascii="Arial" w:eastAsia="Times New Roman" w:hAnsi="Arial" w:cs="Arial"/>
                <w:bCs/>
                <w:sz w:val="24"/>
                <w:szCs w:val="24"/>
                <w:lang w:eastAsia="pt-BR"/>
              </w:rPr>
            </w:pPr>
          </w:p>
          <w:p w14:paraId="1AC8E9B4" w14:textId="77777777" w:rsidR="00244066" w:rsidRPr="00244066" w:rsidRDefault="00244066" w:rsidP="00244066">
            <w:pPr>
              <w:spacing w:after="0" w:line="240" w:lineRule="auto"/>
              <w:ind w:right="201"/>
              <w:jc w:val="both"/>
              <w:rPr>
                <w:rFonts w:ascii="Arial" w:eastAsia="Times New Roman" w:hAnsi="Arial" w:cs="Arial"/>
                <w:bCs/>
                <w:sz w:val="24"/>
                <w:szCs w:val="24"/>
                <w:lang w:eastAsia="pt-BR"/>
              </w:rPr>
            </w:pPr>
            <w:r w:rsidRPr="00244066">
              <w:rPr>
                <w:rFonts w:ascii="Arial" w:eastAsia="Times New Roman" w:hAnsi="Arial" w:cs="Arial"/>
                <w:bCs/>
                <w:sz w:val="24"/>
                <w:szCs w:val="24"/>
                <w:lang w:eastAsia="pt-BR"/>
              </w:rPr>
              <w:t>I</w:t>
            </w:r>
            <w:r w:rsidRPr="00244066">
              <w:rPr>
                <w:rFonts w:ascii="Arial" w:eastAsia="Times New Roman" w:hAnsi="Arial" w:cs="Arial"/>
                <w:bCs/>
                <w:sz w:val="24"/>
                <w:szCs w:val="24"/>
                <w:lang w:eastAsia="pt-BR"/>
              </w:rPr>
              <w:tab/>
              <w:t>renda mensal por um prazo de pagamento mínimo de 10 (dez) anos, a ser definido pelo Participante, sendo o seu valor estipulado em quotas e igual a:</w:t>
            </w:r>
          </w:p>
          <w:p w14:paraId="28BA4DF9" w14:textId="3DD4DC11" w:rsidR="00244066" w:rsidRPr="00244066" w:rsidRDefault="00244066" w:rsidP="00244066">
            <w:pPr>
              <w:spacing w:after="0" w:line="240" w:lineRule="auto"/>
              <w:ind w:right="201"/>
              <w:jc w:val="both"/>
              <w:rPr>
                <w:rFonts w:ascii="Arial" w:eastAsia="Times New Roman" w:hAnsi="Arial" w:cs="Arial"/>
                <w:bCs/>
                <w:sz w:val="24"/>
                <w:szCs w:val="24"/>
                <w:lang w:eastAsia="pt-BR"/>
              </w:rPr>
            </w:pPr>
            <w:r w:rsidRPr="00244066">
              <w:rPr>
                <w:rFonts w:ascii="Arial" w:eastAsia="Times New Roman" w:hAnsi="Arial" w:cs="Arial"/>
                <w:bCs/>
                <w:sz w:val="24"/>
                <w:szCs w:val="24"/>
                <w:lang w:eastAsia="pt-BR"/>
              </w:rPr>
              <w:tab/>
              <w:t xml:space="preserve">Benefício em quotas =  </w:t>
            </w:r>
            <w:r w:rsidRPr="004108AA">
              <w:rPr>
                <w:rFonts w:ascii="Times New Roman" w:hAnsi="Times New Roman"/>
                <w:position w:val="-20"/>
                <w:sz w:val="24"/>
                <w:szCs w:val="24"/>
              </w:rPr>
              <w:object w:dxaOrig="1420" w:dyaOrig="580" w14:anchorId="1FCE0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8.2pt" o:ole="" fillcolor="window">
                  <v:imagedata r:id="rId8" o:title=""/>
                </v:shape>
                <o:OLEObject Type="Embed" ProgID="Equation.3" ShapeID="_x0000_i1025" DrawAspect="Content" ObjectID="_1676888714" r:id="rId9"/>
              </w:object>
            </w:r>
          </w:p>
          <w:p w14:paraId="0E4E0A0C" w14:textId="77777777" w:rsidR="00244066" w:rsidRPr="00244066" w:rsidRDefault="00244066" w:rsidP="00244066">
            <w:pPr>
              <w:spacing w:after="0" w:line="240" w:lineRule="auto"/>
              <w:ind w:right="201"/>
              <w:jc w:val="both"/>
              <w:rPr>
                <w:rFonts w:ascii="Arial" w:eastAsia="Times New Roman" w:hAnsi="Arial" w:cs="Arial"/>
                <w:bCs/>
                <w:sz w:val="24"/>
                <w:szCs w:val="24"/>
                <w:lang w:eastAsia="pt-BR"/>
              </w:rPr>
            </w:pPr>
            <w:r w:rsidRPr="00244066">
              <w:rPr>
                <w:rFonts w:ascii="Arial" w:eastAsia="Times New Roman" w:hAnsi="Arial" w:cs="Arial"/>
                <w:bCs/>
                <w:sz w:val="24"/>
                <w:szCs w:val="24"/>
                <w:lang w:eastAsia="pt-BR"/>
              </w:rPr>
              <w:lastRenderedPageBreak/>
              <w:t> </w:t>
            </w:r>
          </w:p>
          <w:p w14:paraId="62E437DD" w14:textId="77777777" w:rsidR="00244066" w:rsidRPr="00244066" w:rsidRDefault="00244066" w:rsidP="00244066">
            <w:pPr>
              <w:spacing w:after="0" w:line="240" w:lineRule="auto"/>
              <w:ind w:right="201"/>
              <w:jc w:val="both"/>
              <w:rPr>
                <w:rFonts w:ascii="Arial" w:eastAsia="Times New Roman" w:hAnsi="Arial" w:cs="Arial"/>
                <w:bCs/>
                <w:sz w:val="24"/>
                <w:szCs w:val="24"/>
                <w:lang w:eastAsia="pt-BR"/>
              </w:rPr>
            </w:pPr>
            <w:r w:rsidRPr="00244066">
              <w:rPr>
                <w:rFonts w:ascii="Arial" w:eastAsia="Times New Roman" w:hAnsi="Arial" w:cs="Arial"/>
                <w:bCs/>
                <w:sz w:val="24"/>
                <w:szCs w:val="24"/>
                <w:lang w:eastAsia="pt-BR"/>
              </w:rPr>
              <w:tab/>
              <w:t>em que:</w:t>
            </w:r>
          </w:p>
          <w:p w14:paraId="683FFA64" w14:textId="77777777" w:rsidR="00244066" w:rsidRPr="00244066" w:rsidRDefault="00244066" w:rsidP="00244066">
            <w:pPr>
              <w:spacing w:after="0" w:line="240" w:lineRule="auto"/>
              <w:ind w:right="201"/>
              <w:jc w:val="both"/>
              <w:rPr>
                <w:rFonts w:ascii="Arial" w:eastAsia="Times New Roman" w:hAnsi="Arial" w:cs="Arial"/>
                <w:bCs/>
                <w:sz w:val="24"/>
                <w:szCs w:val="24"/>
                <w:lang w:eastAsia="pt-BR"/>
              </w:rPr>
            </w:pPr>
            <w:r w:rsidRPr="00244066">
              <w:rPr>
                <w:rFonts w:ascii="Arial" w:eastAsia="Times New Roman" w:hAnsi="Arial" w:cs="Arial"/>
                <w:bCs/>
                <w:sz w:val="24"/>
                <w:szCs w:val="24"/>
                <w:lang w:eastAsia="pt-BR"/>
              </w:rPr>
              <w:tab/>
            </w:r>
            <w:proofErr w:type="gramStart"/>
            <w:r w:rsidRPr="00244066">
              <w:rPr>
                <w:rFonts w:ascii="Arial" w:eastAsia="Times New Roman" w:hAnsi="Arial" w:cs="Arial"/>
                <w:bCs/>
                <w:sz w:val="24"/>
                <w:szCs w:val="24"/>
                <w:lang w:eastAsia="pt-BR"/>
              </w:rPr>
              <w:t>"SCT Líquido</w:t>
            </w:r>
            <w:proofErr w:type="gramEnd"/>
            <w:r w:rsidRPr="00244066">
              <w:rPr>
                <w:rFonts w:ascii="Arial" w:eastAsia="Times New Roman" w:hAnsi="Arial" w:cs="Arial"/>
                <w:bCs/>
                <w:sz w:val="24"/>
                <w:szCs w:val="24"/>
                <w:lang w:eastAsia="pt-BR"/>
              </w:rPr>
              <w:t>" é o Saldo de Conta Total, descontado a parcela paga na forma de pagamento único.</w:t>
            </w:r>
          </w:p>
          <w:p w14:paraId="7975B7C0" w14:textId="55DE3394" w:rsidR="00244066" w:rsidRDefault="00244066" w:rsidP="00244066">
            <w:pPr>
              <w:spacing w:after="0" w:line="240" w:lineRule="auto"/>
              <w:ind w:right="201"/>
              <w:jc w:val="both"/>
              <w:rPr>
                <w:rFonts w:ascii="Arial" w:eastAsia="Times New Roman" w:hAnsi="Arial" w:cs="Arial"/>
                <w:bCs/>
                <w:sz w:val="24"/>
                <w:szCs w:val="24"/>
                <w:lang w:eastAsia="pt-BR"/>
              </w:rPr>
            </w:pPr>
            <w:r w:rsidRPr="00244066">
              <w:rPr>
                <w:rFonts w:ascii="Arial" w:eastAsia="Times New Roman" w:hAnsi="Arial" w:cs="Arial"/>
                <w:bCs/>
                <w:sz w:val="24"/>
                <w:szCs w:val="24"/>
                <w:lang w:eastAsia="pt-BR"/>
              </w:rPr>
              <w:tab/>
              <w:t>"Prazo" é o prazo, em anos, de pagamento do Benefício escolhido pelo Participante.</w:t>
            </w:r>
          </w:p>
          <w:p w14:paraId="486D9712" w14:textId="77777777" w:rsidR="00244066" w:rsidRPr="00244066" w:rsidRDefault="00244066" w:rsidP="00244066">
            <w:pPr>
              <w:spacing w:after="0" w:line="240" w:lineRule="auto"/>
              <w:ind w:right="201"/>
              <w:jc w:val="both"/>
              <w:rPr>
                <w:rFonts w:ascii="Arial" w:eastAsia="Times New Roman" w:hAnsi="Arial" w:cs="Arial"/>
                <w:bCs/>
                <w:sz w:val="24"/>
                <w:szCs w:val="24"/>
                <w:lang w:eastAsia="pt-BR"/>
              </w:rPr>
            </w:pPr>
          </w:p>
          <w:p w14:paraId="6E53065B" w14:textId="77777777" w:rsidR="00244066" w:rsidRDefault="00244066" w:rsidP="00244066">
            <w:pPr>
              <w:spacing w:after="0" w:line="240" w:lineRule="auto"/>
              <w:ind w:right="201"/>
              <w:jc w:val="both"/>
              <w:rPr>
                <w:rFonts w:ascii="Arial" w:eastAsia="Times New Roman" w:hAnsi="Arial" w:cs="Arial"/>
                <w:bCs/>
                <w:sz w:val="24"/>
                <w:szCs w:val="24"/>
                <w:lang w:eastAsia="pt-BR"/>
              </w:rPr>
            </w:pPr>
            <w:r w:rsidRPr="00244066">
              <w:rPr>
                <w:rFonts w:ascii="Arial" w:eastAsia="Times New Roman" w:hAnsi="Arial" w:cs="Arial"/>
                <w:bCs/>
                <w:sz w:val="24"/>
                <w:szCs w:val="24"/>
                <w:lang w:eastAsia="pt-BR"/>
              </w:rPr>
              <w:t>II</w:t>
            </w:r>
            <w:r w:rsidRPr="00244066">
              <w:rPr>
                <w:rFonts w:ascii="Arial" w:eastAsia="Times New Roman" w:hAnsi="Arial" w:cs="Arial"/>
                <w:bCs/>
                <w:sz w:val="24"/>
                <w:szCs w:val="24"/>
                <w:lang w:eastAsia="pt-BR"/>
              </w:rPr>
              <w:tab/>
              <w:t>percentual do Saldo de Conta Total Líquido ou um valor fixo. A renda será definida pelo Participante não podendo seu valor inicial ser inferior a 0,5% (zero vírgula cinco por cento) nem superior a 1,5% (</w:t>
            </w:r>
            <w:proofErr w:type="gramStart"/>
            <w:r w:rsidRPr="00244066">
              <w:rPr>
                <w:rFonts w:ascii="Arial" w:eastAsia="Times New Roman" w:hAnsi="Arial" w:cs="Arial"/>
                <w:bCs/>
                <w:sz w:val="24"/>
                <w:szCs w:val="24"/>
                <w:lang w:eastAsia="pt-BR"/>
              </w:rPr>
              <w:t>um vírgula</w:t>
            </w:r>
            <w:proofErr w:type="gramEnd"/>
            <w:r w:rsidRPr="00244066">
              <w:rPr>
                <w:rFonts w:ascii="Arial" w:eastAsia="Times New Roman" w:hAnsi="Arial" w:cs="Arial"/>
                <w:bCs/>
                <w:sz w:val="24"/>
                <w:szCs w:val="24"/>
                <w:lang w:eastAsia="pt-BR"/>
              </w:rPr>
              <w:t xml:space="preserve"> cinco por cento) do referido saldo.</w:t>
            </w:r>
          </w:p>
          <w:p w14:paraId="5339CB6B" w14:textId="78A85F0A" w:rsidR="00244066" w:rsidRPr="008812EF" w:rsidRDefault="00244066" w:rsidP="00244066">
            <w:pPr>
              <w:spacing w:after="0" w:line="240" w:lineRule="auto"/>
              <w:ind w:right="201"/>
              <w:jc w:val="both"/>
              <w:rPr>
                <w:rFonts w:ascii="Arial" w:eastAsia="Times New Roman" w:hAnsi="Arial" w:cs="Arial"/>
                <w:bCs/>
                <w:sz w:val="24"/>
                <w:szCs w:val="24"/>
                <w:lang w:eastAsia="pt-BR"/>
              </w:rPr>
            </w:pPr>
          </w:p>
        </w:tc>
        <w:tc>
          <w:tcPr>
            <w:tcW w:w="5669" w:type="dxa"/>
            <w:tcBorders>
              <w:top w:val="single" w:sz="4" w:space="0" w:color="auto"/>
              <w:left w:val="nil"/>
              <w:bottom w:val="single" w:sz="4" w:space="0" w:color="auto"/>
              <w:right w:val="single" w:sz="4" w:space="0" w:color="auto"/>
            </w:tcBorders>
            <w:shd w:val="clear" w:color="auto" w:fill="auto"/>
            <w:noWrap/>
            <w:vAlign w:val="center"/>
          </w:tcPr>
          <w:p w14:paraId="0921ED9C" w14:textId="77777777" w:rsidR="00244066" w:rsidRDefault="00244066" w:rsidP="00244066">
            <w:pPr>
              <w:spacing w:after="0" w:line="240" w:lineRule="auto"/>
              <w:ind w:right="201"/>
              <w:jc w:val="both"/>
              <w:rPr>
                <w:rFonts w:ascii="Arial" w:eastAsia="Times New Roman" w:hAnsi="Arial" w:cs="Arial"/>
                <w:bCs/>
                <w:sz w:val="24"/>
                <w:szCs w:val="24"/>
                <w:lang w:eastAsia="pt-BR"/>
              </w:rPr>
            </w:pPr>
          </w:p>
          <w:p w14:paraId="5B324E74" w14:textId="77777777" w:rsidR="00244066" w:rsidRDefault="00244066" w:rsidP="00244066">
            <w:pPr>
              <w:spacing w:after="0" w:line="240" w:lineRule="auto"/>
              <w:ind w:right="201"/>
              <w:jc w:val="both"/>
              <w:rPr>
                <w:rFonts w:ascii="Arial" w:eastAsia="Times New Roman" w:hAnsi="Arial" w:cs="Arial"/>
                <w:bCs/>
                <w:sz w:val="24"/>
                <w:szCs w:val="24"/>
                <w:lang w:eastAsia="pt-BR"/>
              </w:rPr>
            </w:pPr>
          </w:p>
          <w:p w14:paraId="61922107" w14:textId="77777777" w:rsidR="00244066" w:rsidRDefault="00244066" w:rsidP="00244066">
            <w:pPr>
              <w:spacing w:after="0" w:line="240" w:lineRule="auto"/>
              <w:ind w:right="201"/>
              <w:jc w:val="both"/>
              <w:rPr>
                <w:rFonts w:ascii="Arial" w:eastAsia="Times New Roman" w:hAnsi="Arial" w:cs="Arial"/>
                <w:bCs/>
                <w:sz w:val="24"/>
                <w:szCs w:val="24"/>
                <w:lang w:eastAsia="pt-BR"/>
              </w:rPr>
            </w:pPr>
          </w:p>
          <w:p w14:paraId="1E08A565" w14:textId="77777777" w:rsidR="00244066" w:rsidRDefault="00244066" w:rsidP="00244066">
            <w:pPr>
              <w:spacing w:after="0" w:line="240" w:lineRule="auto"/>
              <w:ind w:right="201"/>
              <w:jc w:val="both"/>
              <w:rPr>
                <w:rFonts w:ascii="Arial" w:eastAsia="Times New Roman" w:hAnsi="Arial" w:cs="Arial"/>
                <w:bCs/>
                <w:sz w:val="24"/>
                <w:szCs w:val="24"/>
                <w:lang w:eastAsia="pt-BR"/>
              </w:rPr>
            </w:pPr>
          </w:p>
          <w:p w14:paraId="294EFA1F" w14:textId="77777777" w:rsidR="00244066" w:rsidRDefault="00244066" w:rsidP="00244066">
            <w:pPr>
              <w:spacing w:after="0" w:line="240" w:lineRule="auto"/>
              <w:ind w:right="201"/>
              <w:jc w:val="both"/>
              <w:rPr>
                <w:rFonts w:ascii="Arial" w:eastAsia="Times New Roman" w:hAnsi="Arial" w:cs="Arial"/>
                <w:bCs/>
                <w:sz w:val="24"/>
                <w:szCs w:val="24"/>
                <w:lang w:eastAsia="pt-BR"/>
              </w:rPr>
            </w:pPr>
          </w:p>
          <w:p w14:paraId="4AF5F3C6" w14:textId="39CAC8CF" w:rsidR="00244066" w:rsidRPr="00244066" w:rsidRDefault="00244066" w:rsidP="00244066">
            <w:pPr>
              <w:spacing w:after="0" w:line="240" w:lineRule="auto"/>
              <w:ind w:right="201"/>
              <w:jc w:val="both"/>
              <w:rPr>
                <w:rFonts w:ascii="Arial" w:eastAsia="Times New Roman" w:hAnsi="Arial" w:cs="Arial"/>
                <w:bCs/>
                <w:sz w:val="24"/>
                <w:szCs w:val="24"/>
                <w:lang w:eastAsia="pt-BR"/>
              </w:rPr>
            </w:pPr>
            <w:r w:rsidRPr="00244066">
              <w:rPr>
                <w:rFonts w:ascii="Arial" w:eastAsia="Times New Roman" w:hAnsi="Arial" w:cs="Arial"/>
                <w:bCs/>
                <w:sz w:val="24"/>
                <w:szCs w:val="24"/>
                <w:lang w:eastAsia="pt-BR"/>
              </w:rPr>
              <w:t>I</w:t>
            </w:r>
            <w:r w:rsidRPr="00244066">
              <w:rPr>
                <w:rFonts w:ascii="Arial" w:eastAsia="Times New Roman" w:hAnsi="Arial" w:cs="Arial"/>
                <w:bCs/>
                <w:sz w:val="24"/>
                <w:szCs w:val="24"/>
                <w:lang w:eastAsia="pt-BR"/>
              </w:rPr>
              <w:tab/>
              <w:t xml:space="preserve">renda mensal por um prazo de pagamento mínimo de 10 (dez) </w:t>
            </w:r>
            <w:bookmarkStart w:id="5" w:name="_Hlk66208796"/>
            <w:r w:rsidRPr="00244066">
              <w:rPr>
                <w:rFonts w:ascii="Arial" w:eastAsia="Times New Roman" w:hAnsi="Arial" w:cs="Arial"/>
                <w:b/>
                <w:sz w:val="24"/>
                <w:szCs w:val="24"/>
                <w:lang w:eastAsia="pt-BR"/>
              </w:rPr>
              <w:t>e máximo de 30 (trinta)</w:t>
            </w:r>
            <w:r>
              <w:rPr>
                <w:rFonts w:ascii="Arial" w:eastAsia="Times New Roman" w:hAnsi="Arial" w:cs="Arial"/>
                <w:bCs/>
                <w:sz w:val="24"/>
                <w:szCs w:val="24"/>
                <w:lang w:eastAsia="pt-BR"/>
              </w:rPr>
              <w:t xml:space="preserve"> </w:t>
            </w:r>
            <w:bookmarkEnd w:id="5"/>
            <w:r w:rsidRPr="00244066">
              <w:rPr>
                <w:rFonts w:ascii="Arial" w:eastAsia="Times New Roman" w:hAnsi="Arial" w:cs="Arial"/>
                <w:bCs/>
                <w:sz w:val="24"/>
                <w:szCs w:val="24"/>
                <w:lang w:eastAsia="pt-BR"/>
              </w:rPr>
              <w:t>anos, a ser definido pelo Participante, sendo o seu valor estipulado em quotas e igual a:</w:t>
            </w:r>
          </w:p>
          <w:p w14:paraId="6B3DB0B2" w14:textId="77777777" w:rsidR="00244066" w:rsidRPr="008812EF" w:rsidRDefault="00244066" w:rsidP="008812EF">
            <w:pPr>
              <w:spacing w:after="0" w:line="240" w:lineRule="auto"/>
              <w:ind w:right="201"/>
              <w:jc w:val="both"/>
              <w:rPr>
                <w:rFonts w:ascii="Arial" w:eastAsia="Times New Roman" w:hAnsi="Arial" w:cs="Arial"/>
                <w:bCs/>
                <w:sz w:val="24"/>
                <w:szCs w:val="24"/>
                <w:lang w:eastAsia="pt-BR"/>
              </w:rPr>
            </w:pPr>
          </w:p>
        </w:tc>
        <w:tc>
          <w:tcPr>
            <w:tcW w:w="4093" w:type="dxa"/>
            <w:tcBorders>
              <w:top w:val="single" w:sz="4" w:space="0" w:color="auto"/>
              <w:left w:val="nil"/>
              <w:bottom w:val="single" w:sz="4" w:space="0" w:color="auto"/>
              <w:right w:val="single" w:sz="4" w:space="0" w:color="auto"/>
            </w:tcBorders>
            <w:shd w:val="clear" w:color="auto" w:fill="auto"/>
            <w:noWrap/>
            <w:vAlign w:val="center"/>
          </w:tcPr>
          <w:p w14:paraId="38B07AED" w14:textId="04F9D6E4" w:rsidR="00244066" w:rsidRDefault="00244066" w:rsidP="008812EF">
            <w:pPr>
              <w:spacing w:after="0" w:line="240" w:lineRule="auto"/>
              <w:ind w:left="214"/>
              <w:jc w:val="center"/>
              <w:rPr>
                <w:rFonts w:ascii="Arial" w:eastAsia="Times New Roman" w:hAnsi="Arial" w:cs="Arial"/>
                <w:bCs/>
                <w:sz w:val="24"/>
                <w:szCs w:val="24"/>
                <w:lang w:eastAsia="pt-BR"/>
              </w:rPr>
            </w:pPr>
            <w:r>
              <w:rPr>
                <w:rFonts w:ascii="Arial" w:eastAsia="Times New Roman" w:hAnsi="Arial" w:cs="Arial"/>
                <w:bCs/>
                <w:sz w:val="24"/>
                <w:szCs w:val="24"/>
                <w:lang w:eastAsia="pt-BR"/>
              </w:rPr>
              <w:t xml:space="preserve">Ajuste técnico para estabelecer o prazo máximo de pagamento. </w:t>
            </w:r>
          </w:p>
        </w:tc>
      </w:tr>
      <w:tr w:rsidR="00244066" w:rsidRPr="00BD58BF" w14:paraId="2BE3CC65" w14:textId="77777777" w:rsidTr="00DA5CD9">
        <w:trPr>
          <w:trHeight w:val="20"/>
        </w:trPr>
        <w:tc>
          <w:tcPr>
            <w:tcW w:w="5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95CDD" w14:textId="665467DA" w:rsidR="00244066" w:rsidRPr="008812EF" w:rsidRDefault="00244066" w:rsidP="00C04FAE">
            <w:pPr>
              <w:spacing w:after="0" w:line="240" w:lineRule="auto"/>
              <w:ind w:right="201"/>
              <w:jc w:val="both"/>
              <w:rPr>
                <w:rFonts w:ascii="Arial" w:eastAsia="Times New Roman" w:hAnsi="Arial" w:cs="Arial"/>
                <w:bCs/>
                <w:sz w:val="24"/>
                <w:szCs w:val="24"/>
                <w:lang w:eastAsia="pt-BR"/>
              </w:rPr>
            </w:pPr>
            <w:r w:rsidRPr="00244066">
              <w:rPr>
                <w:rFonts w:ascii="Arial" w:eastAsia="Times New Roman" w:hAnsi="Arial" w:cs="Arial"/>
                <w:bCs/>
                <w:sz w:val="24"/>
                <w:szCs w:val="24"/>
                <w:lang w:eastAsia="pt-BR"/>
              </w:rPr>
              <w:t>8.9.3</w:t>
            </w:r>
            <w:r w:rsidRPr="00244066">
              <w:rPr>
                <w:rFonts w:ascii="Arial" w:eastAsia="Times New Roman" w:hAnsi="Arial" w:cs="Arial"/>
                <w:bCs/>
                <w:sz w:val="24"/>
                <w:szCs w:val="24"/>
                <w:lang w:eastAsia="pt-BR"/>
              </w:rPr>
              <w:tab/>
              <w:t>O prazo escolhido para pagamento do Benefício, conforme previsto no inciso I do subitem 8.9.1, poderá ser alterado pelo Participante no mês de novembro de cada ano, para vigorar a partir de janeiro do ano subsequente, desde que o período de pagamento do Benefício, contado a partir do seu início, seja igual ao mínimo de 10 (dez) anos. Na hipótese de alteração do referido prazo, o Benefício mensal, expresso em quotas, deverá ser recalculado com base no Saldo de Conta Total Líquido remanescente.</w:t>
            </w:r>
          </w:p>
        </w:tc>
        <w:tc>
          <w:tcPr>
            <w:tcW w:w="5669" w:type="dxa"/>
            <w:tcBorders>
              <w:top w:val="single" w:sz="4" w:space="0" w:color="auto"/>
              <w:left w:val="nil"/>
              <w:bottom w:val="single" w:sz="4" w:space="0" w:color="auto"/>
              <w:right w:val="single" w:sz="4" w:space="0" w:color="auto"/>
            </w:tcBorders>
            <w:shd w:val="clear" w:color="auto" w:fill="auto"/>
            <w:noWrap/>
            <w:vAlign w:val="center"/>
          </w:tcPr>
          <w:p w14:paraId="7B0C4F4A" w14:textId="793FD30F" w:rsidR="00244066" w:rsidRPr="008812EF" w:rsidRDefault="00244066" w:rsidP="008812EF">
            <w:pPr>
              <w:spacing w:after="0" w:line="240" w:lineRule="auto"/>
              <w:ind w:right="201"/>
              <w:jc w:val="both"/>
              <w:rPr>
                <w:rFonts w:ascii="Arial" w:eastAsia="Times New Roman" w:hAnsi="Arial" w:cs="Arial"/>
                <w:bCs/>
                <w:sz w:val="24"/>
                <w:szCs w:val="24"/>
                <w:lang w:eastAsia="pt-BR"/>
              </w:rPr>
            </w:pPr>
            <w:r w:rsidRPr="00244066">
              <w:rPr>
                <w:rFonts w:ascii="Arial" w:eastAsia="Times New Roman" w:hAnsi="Arial" w:cs="Arial"/>
                <w:bCs/>
                <w:sz w:val="24"/>
                <w:szCs w:val="24"/>
                <w:lang w:eastAsia="pt-BR"/>
              </w:rPr>
              <w:t>8.9.3</w:t>
            </w:r>
            <w:r w:rsidRPr="00244066">
              <w:rPr>
                <w:rFonts w:ascii="Arial" w:eastAsia="Times New Roman" w:hAnsi="Arial" w:cs="Arial"/>
                <w:bCs/>
                <w:sz w:val="24"/>
                <w:szCs w:val="24"/>
                <w:lang w:eastAsia="pt-BR"/>
              </w:rPr>
              <w:tab/>
              <w:t xml:space="preserve">O prazo escolhido para pagamento do Benefício, conforme previsto no inciso I do subitem 8.9.1, poderá ser alterado pelo Participante no mês de novembro de cada ano, para vigorar a partir de janeiro do ano subsequente, desde que o período de pagamento do Benefício, contado a partir do seu início, seja igual ao mínimo de 10 (dez) </w:t>
            </w:r>
            <w:bookmarkStart w:id="6" w:name="_Hlk66208913"/>
            <w:r w:rsidRPr="00244066">
              <w:rPr>
                <w:rFonts w:ascii="Arial" w:eastAsia="Times New Roman" w:hAnsi="Arial" w:cs="Arial"/>
                <w:b/>
                <w:sz w:val="24"/>
                <w:szCs w:val="24"/>
                <w:lang w:eastAsia="pt-BR"/>
              </w:rPr>
              <w:t>e máximo de 30 (trinta)</w:t>
            </w:r>
            <w:r>
              <w:rPr>
                <w:rFonts w:ascii="Arial" w:eastAsia="Times New Roman" w:hAnsi="Arial" w:cs="Arial"/>
                <w:bCs/>
                <w:sz w:val="24"/>
                <w:szCs w:val="24"/>
                <w:lang w:eastAsia="pt-BR"/>
              </w:rPr>
              <w:t xml:space="preserve"> </w:t>
            </w:r>
            <w:bookmarkEnd w:id="6"/>
            <w:r w:rsidRPr="00244066">
              <w:rPr>
                <w:rFonts w:ascii="Arial" w:eastAsia="Times New Roman" w:hAnsi="Arial" w:cs="Arial"/>
                <w:bCs/>
                <w:sz w:val="24"/>
                <w:szCs w:val="24"/>
                <w:lang w:eastAsia="pt-BR"/>
              </w:rPr>
              <w:t>anos. Na hipótese de alteração do referido prazo, o Benefício mensal, expresso em quotas, deverá ser recalculado com base no Saldo de Conta Total Líquido remanescente.</w:t>
            </w:r>
          </w:p>
        </w:tc>
        <w:tc>
          <w:tcPr>
            <w:tcW w:w="4093" w:type="dxa"/>
            <w:tcBorders>
              <w:top w:val="single" w:sz="4" w:space="0" w:color="auto"/>
              <w:left w:val="nil"/>
              <w:bottom w:val="single" w:sz="4" w:space="0" w:color="auto"/>
              <w:right w:val="single" w:sz="4" w:space="0" w:color="auto"/>
            </w:tcBorders>
            <w:shd w:val="clear" w:color="auto" w:fill="auto"/>
            <w:noWrap/>
            <w:vAlign w:val="center"/>
          </w:tcPr>
          <w:p w14:paraId="224AD540" w14:textId="4C8327B6" w:rsidR="00244066" w:rsidRDefault="00244066" w:rsidP="008812EF">
            <w:pPr>
              <w:spacing w:after="0" w:line="240" w:lineRule="auto"/>
              <w:ind w:left="214"/>
              <w:jc w:val="center"/>
              <w:rPr>
                <w:rFonts w:ascii="Arial" w:eastAsia="Times New Roman" w:hAnsi="Arial" w:cs="Arial"/>
                <w:bCs/>
                <w:sz w:val="24"/>
                <w:szCs w:val="24"/>
                <w:lang w:eastAsia="pt-BR"/>
              </w:rPr>
            </w:pPr>
            <w:r>
              <w:rPr>
                <w:rFonts w:ascii="Arial" w:eastAsia="Times New Roman" w:hAnsi="Arial" w:cs="Arial"/>
                <w:bCs/>
                <w:sz w:val="24"/>
                <w:szCs w:val="24"/>
                <w:lang w:eastAsia="pt-BR"/>
              </w:rPr>
              <w:t>Ajuste técnico para estabelecer o prazo máximo de pagamento.</w:t>
            </w:r>
          </w:p>
        </w:tc>
      </w:tr>
      <w:tr w:rsidR="00244066" w:rsidRPr="00BD58BF" w14:paraId="1701E5CB" w14:textId="77777777" w:rsidTr="00DA5CD9">
        <w:trPr>
          <w:trHeight w:val="20"/>
        </w:trPr>
        <w:tc>
          <w:tcPr>
            <w:tcW w:w="5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69DCF" w14:textId="77777777" w:rsidR="00244066" w:rsidRPr="008812EF" w:rsidRDefault="00244066" w:rsidP="00C04FAE">
            <w:pPr>
              <w:spacing w:after="0" w:line="240" w:lineRule="auto"/>
              <w:ind w:right="201"/>
              <w:jc w:val="both"/>
              <w:rPr>
                <w:rFonts w:ascii="Arial" w:eastAsia="Times New Roman" w:hAnsi="Arial" w:cs="Arial"/>
                <w:bCs/>
                <w:sz w:val="24"/>
                <w:szCs w:val="24"/>
                <w:lang w:eastAsia="pt-BR"/>
              </w:rPr>
            </w:pPr>
          </w:p>
        </w:tc>
        <w:tc>
          <w:tcPr>
            <w:tcW w:w="5669" w:type="dxa"/>
            <w:tcBorders>
              <w:top w:val="single" w:sz="4" w:space="0" w:color="auto"/>
              <w:left w:val="nil"/>
              <w:bottom w:val="single" w:sz="4" w:space="0" w:color="auto"/>
              <w:right w:val="single" w:sz="4" w:space="0" w:color="auto"/>
            </w:tcBorders>
            <w:shd w:val="clear" w:color="auto" w:fill="auto"/>
            <w:noWrap/>
            <w:vAlign w:val="center"/>
          </w:tcPr>
          <w:p w14:paraId="2B70CEA4" w14:textId="3633A944" w:rsidR="00244066" w:rsidRPr="008812EF" w:rsidRDefault="00244066" w:rsidP="00734A0C">
            <w:pPr>
              <w:spacing w:after="0" w:line="240" w:lineRule="auto"/>
              <w:ind w:right="201"/>
              <w:jc w:val="both"/>
              <w:rPr>
                <w:rFonts w:ascii="Arial" w:eastAsia="Times New Roman" w:hAnsi="Arial" w:cs="Arial"/>
                <w:bCs/>
                <w:sz w:val="24"/>
                <w:szCs w:val="24"/>
                <w:lang w:eastAsia="pt-BR"/>
              </w:rPr>
            </w:pPr>
            <w:bookmarkStart w:id="7" w:name="_Hlk66209120"/>
            <w:r w:rsidRPr="00244066">
              <w:rPr>
                <w:rFonts w:ascii="Arial" w:eastAsia="Times New Roman" w:hAnsi="Arial" w:cs="Arial"/>
                <w:b/>
                <w:sz w:val="24"/>
                <w:szCs w:val="24"/>
                <w:lang w:eastAsia="pt-BR"/>
              </w:rPr>
              <w:t xml:space="preserve">8.9.5. </w:t>
            </w:r>
            <w:r>
              <w:rPr>
                <w:rFonts w:ascii="Arial" w:eastAsia="Times New Roman" w:hAnsi="Arial" w:cs="Arial"/>
                <w:b/>
                <w:sz w:val="24"/>
                <w:szCs w:val="24"/>
                <w:lang w:eastAsia="pt-BR"/>
              </w:rPr>
              <w:t xml:space="preserve">O Assistido em gozo de Aposentadoria Normal ou Antecipada </w:t>
            </w:r>
            <w:r w:rsidR="00734A0C">
              <w:rPr>
                <w:rFonts w:ascii="Arial" w:eastAsia="Times New Roman" w:hAnsi="Arial" w:cs="Arial"/>
                <w:b/>
                <w:sz w:val="24"/>
                <w:szCs w:val="24"/>
                <w:lang w:eastAsia="pt-BR"/>
              </w:rPr>
              <w:t xml:space="preserve">poderá requerer a suspensão do pagamento da renda mensal a qualquer tempo, com possibilidade de reativação no </w:t>
            </w:r>
            <w:r w:rsidRPr="00244066">
              <w:rPr>
                <w:rFonts w:ascii="Arial" w:eastAsia="Times New Roman" w:hAnsi="Arial" w:cs="Arial"/>
                <w:b/>
                <w:sz w:val="24"/>
                <w:szCs w:val="24"/>
                <w:lang w:eastAsia="pt-BR"/>
              </w:rPr>
              <w:t xml:space="preserve">mês de novembro de cada ano, </w:t>
            </w:r>
            <w:r w:rsidRPr="00244066">
              <w:rPr>
                <w:rFonts w:ascii="Arial" w:eastAsia="Times New Roman" w:hAnsi="Arial" w:cs="Arial"/>
                <w:b/>
                <w:sz w:val="24"/>
                <w:szCs w:val="24"/>
                <w:lang w:eastAsia="pt-BR"/>
              </w:rPr>
              <w:lastRenderedPageBreak/>
              <w:t xml:space="preserve">para </w:t>
            </w:r>
            <w:r w:rsidR="00734A0C">
              <w:rPr>
                <w:rFonts w:ascii="Arial" w:eastAsia="Times New Roman" w:hAnsi="Arial" w:cs="Arial"/>
                <w:b/>
                <w:sz w:val="24"/>
                <w:szCs w:val="24"/>
                <w:lang w:eastAsia="pt-BR"/>
              </w:rPr>
              <w:t xml:space="preserve">restabelecimento do pagamento </w:t>
            </w:r>
            <w:r w:rsidRPr="00244066">
              <w:rPr>
                <w:rFonts w:ascii="Arial" w:eastAsia="Times New Roman" w:hAnsi="Arial" w:cs="Arial"/>
                <w:b/>
                <w:sz w:val="24"/>
                <w:szCs w:val="24"/>
                <w:lang w:eastAsia="pt-BR"/>
              </w:rPr>
              <w:t>a partir de janeiro do ano subsequente</w:t>
            </w:r>
            <w:r w:rsidR="00734A0C">
              <w:rPr>
                <w:rFonts w:ascii="Arial" w:eastAsia="Times New Roman" w:hAnsi="Arial" w:cs="Arial"/>
                <w:b/>
                <w:sz w:val="24"/>
                <w:szCs w:val="24"/>
                <w:lang w:eastAsia="pt-BR"/>
              </w:rPr>
              <w:t xml:space="preserve">. </w:t>
            </w:r>
            <w:bookmarkEnd w:id="7"/>
          </w:p>
        </w:tc>
        <w:tc>
          <w:tcPr>
            <w:tcW w:w="4093" w:type="dxa"/>
            <w:tcBorders>
              <w:top w:val="single" w:sz="4" w:space="0" w:color="auto"/>
              <w:left w:val="nil"/>
              <w:bottom w:val="single" w:sz="4" w:space="0" w:color="auto"/>
              <w:right w:val="single" w:sz="4" w:space="0" w:color="auto"/>
            </w:tcBorders>
            <w:shd w:val="clear" w:color="auto" w:fill="auto"/>
            <w:noWrap/>
            <w:vAlign w:val="center"/>
          </w:tcPr>
          <w:p w14:paraId="21B42526" w14:textId="366EF055" w:rsidR="00244066" w:rsidRDefault="00734A0C" w:rsidP="008812EF">
            <w:pPr>
              <w:spacing w:after="0" w:line="240" w:lineRule="auto"/>
              <w:ind w:left="214"/>
              <w:jc w:val="center"/>
              <w:rPr>
                <w:rFonts w:ascii="Arial" w:eastAsia="Times New Roman" w:hAnsi="Arial" w:cs="Arial"/>
                <w:bCs/>
                <w:sz w:val="24"/>
                <w:szCs w:val="24"/>
                <w:lang w:eastAsia="pt-BR"/>
              </w:rPr>
            </w:pPr>
            <w:r>
              <w:rPr>
                <w:rFonts w:ascii="Arial" w:eastAsia="Times New Roman" w:hAnsi="Arial" w:cs="Arial"/>
                <w:bCs/>
                <w:sz w:val="24"/>
                <w:szCs w:val="24"/>
                <w:lang w:eastAsia="pt-BR"/>
              </w:rPr>
              <w:lastRenderedPageBreak/>
              <w:t xml:space="preserve">Inclusão da possibilidade de suspensão do pagamento da renda mensal. </w:t>
            </w:r>
          </w:p>
        </w:tc>
      </w:tr>
      <w:tr w:rsidR="00F21707" w:rsidRPr="00BD58BF" w14:paraId="4444181B" w14:textId="77777777" w:rsidTr="00DA5CD9">
        <w:trPr>
          <w:trHeight w:val="20"/>
        </w:trPr>
        <w:tc>
          <w:tcPr>
            <w:tcW w:w="5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E47E9" w14:textId="77777777" w:rsidR="008812EF" w:rsidRPr="008812EF" w:rsidRDefault="008812EF" w:rsidP="00C04FAE">
            <w:pPr>
              <w:spacing w:after="0" w:line="240" w:lineRule="auto"/>
              <w:ind w:right="201"/>
              <w:jc w:val="both"/>
              <w:rPr>
                <w:rFonts w:ascii="Arial" w:eastAsia="Times New Roman" w:hAnsi="Arial" w:cs="Arial"/>
                <w:bCs/>
                <w:sz w:val="24"/>
                <w:szCs w:val="24"/>
                <w:lang w:eastAsia="pt-BR"/>
              </w:rPr>
            </w:pPr>
            <w:r w:rsidRPr="008812EF">
              <w:rPr>
                <w:rFonts w:ascii="Arial" w:eastAsia="Times New Roman" w:hAnsi="Arial" w:cs="Arial"/>
                <w:bCs/>
                <w:sz w:val="24"/>
                <w:szCs w:val="24"/>
                <w:lang w:eastAsia="pt-BR"/>
              </w:rPr>
              <w:t>8.10.1</w:t>
            </w:r>
            <w:r w:rsidRPr="008812EF">
              <w:rPr>
                <w:rFonts w:ascii="Arial" w:eastAsia="Times New Roman" w:hAnsi="Arial" w:cs="Arial"/>
                <w:bCs/>
                <w:sz w:val="24"/>
                <w:szCs w:val="24"/>
                <w:lang w:eastAsia="pt-BR"/>
              </w:rPr>
              <w:tab/>
              <w:t>O Salário Real de Benefício significará à soma das parcelas (a), (b) e (c), onde:</w:t>
            </w:r>
          </w:p>
          <w:p w14:paraId="4589A2BD" w14:textId="77777777" w:rsidR="008812EF" w:rsidRPr="008812EF" w:rsidRDefault="008812EF" w:rsidP="008812EF">
            <w:pPr>
              <w:spacing w:after="0" w:line="240" w:lineRule="auto"/>
              <w:ind w:left="214" w:right="201"/>
              <w:jc w:val="both"/>
              <w:rPr>
                <w:rFonts w:ascii="Arial" w:eastAsia="Times New Roman" w:hAnsi="Arial" w:cs="Arial"/>
                <w:bCs/>
                <w:sz w:val="24"/>
                <w:szCs w:val="24"/>
                <w:lang w:eastAsia="pt-BR"/>
              </w:rPr>
            </w:pPr>
            <w:r w:rsidRPr="008812EF">
              <w:rPr>
                <w:rFonts w:ascii="Arial" w:eastAsia="Times New Roman" w:hAnsi="Arial" w:cs="Arial"/>
                <w:bCs/>
                <w:sz w:val="24"/>
                <w:szCs w:val="24"/>
                <w:lang w:eastAsia="pt-BR"/>
              </w:rPr>
              <w:t>(a)</w:t>
            </w:r>
            <w:r w:rsidRPr="008812EF">
              <w:rPr>
                <w:rFonts w:ascii="Arial" w:eastAsia="Times New Roman" w:hAnsi="Arial" w:cs="Arial"/>
                <w:bCs/>
                <w:sz w:val="24"/>
                <w:szCs w:val="24"/>
                <w:lang w:eastAsia="pt-BR"/>
              </w:rPr>
              <w:tab/>
              <w:t>salário base do último acordo coletivo, corrigido pelo IGP-DI, até a Data de Início do Benefício, ou o último salário base pago, prevalecendo o maior;</w:t>
            </w:r>
          </w:p>
          <w:p w14:paraId="4C35187B" w14:textId="77777777" w:rsidR="008812EF" w:rsidRPr="008812EF" w:rsidRDefault="008812EF" w:rsidP="008812EF">
            <w:pPr>
              <w:spacing w:after="0" w:line="240" w:lineRule="auto"/>
              <w:ind w:left="214" w:right="201"/>
              <w:jc w:val="both"/>
              <w:rPr>
                <w:rFonts w:ascii="Arial" w:eastAsia="Times New Roman" w:hAnsi="Arial" w:cs="Arial"/>
                <w:bCs/>
                <w:sz w:val="24"/>
                <w:szCs w:val="24"/>
                <w:lang w:eastAsia="pt-BR"/>
              </w:rPr>
            </w:pPr>
            <w:r w:rsidRPr="008812EF">
              <w:rPr>
                <w:rFonts w:ascii="Arial" w:eastAsia="Times New Roman" w:hAnsi="Arial" w:cs="Arial"/>
                <w:bCs/>
                <w:sz w:val="24"/>
                <w:szCs w:val="24"/>
                <w:lang w:eastAsia="pt-BR"/>
              </w:rPr>
              <w:t>(b)</w:t>
            </w:r>
            <w:r w:rsidRPr="008812EF">
              <w:rPr>
                <w:rFonts w:ascii="Arial" w:eastAsia="Times New Roman" w:hAnsi="Arial" w:cs="Arial"/>
                <w:bCs/>
                <w:sz w:val="24"/>
                <w:szCs w:val="24"/>
                <w:lang w:eastAsia="pt-BR"/>
              </w:rPr>
              <w:tab/>
              <w:t>último valor da gratificação por tempo de serviço (GTS) recebido;</w:t>
            </w:r>
          </w:p>
          <w:p w14:paraId="7E322A5F" w14:textId="2BF90F23" w:rsidR="00A02D8F" w:rsidRPr="00F21707" w:rsidRDefault="008812EF" w:rsidP="008812EF">
            <w:pPr>
              <w:spacing w:after="0" w:line="240" w:lineRule="auto"/>
              <w:ind w:left="214" w:right="201"/>
              <w:jc w:val="both"/>
              <w:rPr>
                <w:rFonts w:ascii="Arial" w:eastAsia="Times New Roman" w:hAnsi="Arial" w:cs="Arial"/>
                <w:bCs/>
                <w:sz w:val="24"/>
                <w:szCs w:val="24"/>
                <w:lang w:eastAsia="pt-BR"/>
              </w:rPr>
            </w:pPr>
            <w:r w:rsidRPr="008812EF">
              <w:rPr>
                <w:rFonts w:ascii="Arial" w:eastAsia="Times New Roman" w:hAnsi="Arial" w:cs="Arial"/>
                <w:bCs/>
                <w:sz w:val="24"/>
                <w:szCs w:val="24"/>
                <w:lang w:eastAsia="pt-BR"/>
              </w:rPr>
              <w:t>(c)</w:t>
            </w:r>
            <w:r w:rsidRPr="008812EF">
              <w:rPr>
                <w:rFonts w:ascii="Arial" w:eastAsia="Times New Roman" w:hAnsi="Arial" w:cs="Arial"/>
                <w:bCs/>
                <w:sz w:val="24"/>
                <w:szCs w:val="24"/>
                <w:lang w:eastAsia="pt-BR"/>
              </w:rPr>
              <w:tab/>
              <w:t>média dos últimos 12 (doze) meses das seguintes parcelas remuneratórias: horas extras; prêmio por objetivo na área de vendas; adicionais: noturno, de insalubridade, de periculosidade, diurno de trabalho aos domingos e feriados e bonificação por trabalho aos domingos e feriados. Essas médias devem ser apuradas em número de horas e valorizadas conforme salário apurado em (a).</w:t>
            </w:r>
          </w:p>
        </w:tc>
        <w:tc>
          <w:tcPr>
            <w:tcW w:w="5669" w:type="dxa"/>
            <w:tcBorders>
              <w:top w:val="single" w:sz="4" w:space="0" w:color="auto"/>
              <w:left w:val="nil"/>
              <w:bottom w:val="single" w:sz="4" w:space="0" w:color="auto"/>
              <w:right w:val="single" w:sz="4" w:space="0" w:color="auto"/>
            </w:tcBorders>
            <w:shd w:val="clear" w:color="auto" w:fill="auto"/>
            <w:noWrap/>
            <w:vAlign w:val="center"/>
          </w:tcPr>
          <w:p w14:paraId="33558CC4" w14:textId="4B5BF446" w:rsidR="008812EF" w:rsidRDefault="008812EF" w:rsidP="008812EF">
            <w:pPr>
              <w:spacing w:after="0" w:line="240" w:lineRule="auto"/>
              <w:ind w:right="201"/>
              <w:jc w:val="both"/>
              <w:rPr>
                <w:rFonts w:ascii="Arial" w:eastAsia="Times New Roman" w:hAnsi="Arial" w:cs="Arial"/>
                <w:bCs/>
                <w:sz w:val="24"/>
                <w:szCs w:val="24"/>
                <w:lang w:eastAsia="pt-BR"/>
              </w:rPr>
            </w:pPr>
            <w:r w:rsidRPr="008812EF">
              <w:rPr>
                <w:rFonts w:ascii="Arial" w:eastAsia="Times New Roman" w:hAnsi="Arial" w:cs="Arial"/>
                <w:bCs/>
                <w:sz w:val="24"/>
                <w:szCs w:val="24"/>
                <w:lang w:eastAsia="pt-BR"/>
              </w:rPr>
              <w:t>(a)</w:t>
            </w:r>
            <w:r w:rsidRPr="008812EF">
              <w:rPr>
                <w:rFonts w:ascii="Arial" w:eastAsia="Times New Roman" w:hAnsi="Arial" w:cs="Arial"/>
                <w:bCs/>
                <w:sz w:val="24"/>
                <w:szCs w:val="24"/>
                <w:lang w:eastAsia="pt-BR"/>
              </w:rPr>
              <w:tab/>
              <w:t xml:space="preserve">salário base do último acordo coletivo, corrigido pelo </w:t>
            </w:r>
            <w:r w:rsidRPr="008812EF">
              <w:rPr>
                <w:rFonts w:ascii="Arial" w:eastAsia="Times New Roman" w:hAnsi="Arial" w:cs="Arial"/>
                <w:b/>
                <w:sz w:val="24"/>
                <w:szCs w:val="24"/>
                <w:lang w:eastAsia="pt-BR"/>
              </w:rPr>
              <w:t>Índice do Plano</w:t>
            </w:r>
            <w:r w:rsidRPr="008812EF">
              <w:rPr>
                <w:rFonts w:ascii="Arial" w:eastAsia="Times New Roman" w:hAnsi="Arial" w:cs="Arial"/>
                <w:bCs/>
                <w:sz w:val="24"/>
                <w:szCs w:val="24"/>
                <w:lang w:eastAsia="pt-BR"/>
              </w:rPr>
              <w:t>, até a Data de Início do Benefício, ou o último salário base pago, prevalecendo o maior;</w:t>
            </w:r>
          </w:p>
          <w:p w14:paraId="281311B9" w14:textId="7E9BBBFF" w:rsidR="008812EF" w:rsidRDefault="008812EF" w:rsidP="008812EF">
            <w:pPr>
              <w:spacing w:after="0" w:line="240" w:lineRule="auto"/>
              <w:ind w:right="201"/>
              <w:jc w:val="both"/>
              <w:rPr>
                <w:rFonts w:ascii="Arial" w:eastAsia="Times New Roman" w:hAnsi="Arial" w:cs="Arial"/>
                <w:bCs/>
                <w:sz w:val="24"/>
                <w:szCs w:val="24"/>
                <w:lang w:eastAsia="pt-BR"/>
              </w:rPr>
            </w:pPr>
          </w:p>
          <w:p w14:paraId="37882504" w14:textId="7D00DC32" w:rsidR="008812EF" w:rsidRDefault="008812EF" w:rsidP="008812EF">
            <w:pPr>
              <w:spacing w:after="0" w:line="240" w:lineRule="auto"/>
              <w:ind w:right="201"/>
              <w:jc w:val="both"/>
              <w:rPr>
                <w:rFonts w:ascii="Arial" w:eastAsia="Times New Roman" w:hAnsi="Arial" w:cs="Arial"/>
                <w:bCs/>
                <w:sz w:val="24"/>
                <w:szCs w:val="24"/>
                <w:lang w:eastAsia="pt-BR"/>
              </w:rPr>
            </w:pPr>
          </w:p>
          <w:p w14:paraId="250C70E3" w14:textId="69537EB7" w:rsidR="008812EF" w:rsidRDefault="008812EF" w:rsidP="008812EF">
            <w:pPr>
              <w:spacing w:after="0" w:line="240" w:lineRule="auto"/>
              <w:ind w:right="201"/>
              <w:jc w:val="both"/>
              <w:rPr>
                <w:rFonts w:ascii="Arial" w:eastAsia="Times New Roman" w:hAnsi="Arial" w:cs="Arial"/>
                <w:bCs/>
                <w:sz w:val="24"/>
                <w:szCs w:val="24"/>
                <w:lang w:eastAsia="pt-BR"/>
              </w:rPr>
            </w:pPr>
          </w:p>
          <w:p w14:paraId="433132E8" w14:textId="77777777" w:rsidR="008812EF" w:rsidRPr="008812EF" w:rsidRDefault="008812EF" w:rsidP="008812EF">
            <w:pPr>
              <w:spacing w:after="0" w:line="240" w:lineRule="auto"/>
              <w:ind w:right="201"/>
              <w:jc w:val="both"/>
              <w:rPr>
                <w:rFonts w:ascii="Arial" w:eastAsia="Times New Roman" w:hAnsi="Arial" w:cs="Arial"/>
                <w:bCs/>
                <w:sz w:val="24"/>
                <w:szCs w:val="24"/>
                <w:lang w:eastAsia="pt-BR"/>
              </w:rPr>
            </w:pPr>
          </w:p>
          <w:p w14:paraId="2617B30D" w14:textId="77777777" w:rsidR="00F21707" w:rsidRDefault="00F21707" w:rsidP="00A02D8F">
            <w:pPr>
              <w:spacing w:after="0" w:line="240" w:lineRule="auto"/>
              <w:ind w:left="214"/>
              <w:jc w:val="both"/>
              <w:rPr>
                <w:rFonts w:ascii="Arial" w:eastAsia="Times New Roman" w:hAnsi="Arial" w:cs="Arial"/>
                <w:bCs/>
                <w:sz w:val="24"/>
                <w:szCs w:val="24"/>
                <w:lang w:eastAsia="pt-BR"/>
              </w:rPr>
            </w:pPr>
          </w:p>
          <w:p w14:paraId="16031332" w14:textId="77777777" w:rsidR="008812EF" w:rsidRDefault="008812EF" w:rsidP="00A02D8F">
            <w:pPr>
              <w:spacing w:after="0" w:line="240" w:lineRule="auto"/>
              <w:ind w:left="214"/>
              <w:jc w:val="both"/>
              <w:rPr>
                <w:rFonts w:ascii="Arial" w:eastAsia="Times New Roman" w:hAnsi="Arial" w:cs="Arial"/>
                <w:bCs/>
                <w:sz w:val="24"/>
                <w:szCs w:val="24"/>
                <w:lang w:eastAsia="pt-BR"/>
              </w:rPr>
            </w:pPr>
          </w:p>
          <w:p w14:paraId="2C0C936C" w14:textId="77777777" w:rsidR="008812EF" w:rsidRDefault="008812EF" w:rsidP="00A02D8F">
            <w:pPr>
              <w:spacing w:after="0" w:line="240" w:lineRule="auto"/>
              <w:ind w:left="214"/>
              <w:jc w:val="both"/>
              <w:rPr>
                <w:rFonts w:ascii="Arial" w:eastAsia="Times New Roman" w:hAnsi="Arial" w:cs="Arial"/>
                <w:bCs/>
                <w:sz w:val="24"/>
                <w:szCs w:val="24"/>
                <w:lang w:eastAsia="pt-BR"/>
              </w:rPr>
            </w:pPr>
          </w:p>
          <w:p w14:paraId="65906C6E" w14:textId="0F041E56" w:rsidR="008812EF" w:rsidRPr="00F21707" w:rsidRDefault="008812EF" w:rsidP="00A02D8F">
            <w:pPr>
              <w:spacing w:after="0" w:line="240" w:lineRule="auto"/>
              <w:ind w:left="214"/>
              <w:jc w:val="both"/>
              <w:rPr>
                <w:rFonts w:ascii="Arial" w:eastAsia="Times New Roman" w:hAnsi="Arial" w:cs="Arial"/>
                <w:bCs/>
                <w:sz w:val="24"/>
                <w:szCs w:val="24"/>
                <w:lang w:eastAsia="pt-BR"/>
              </w:rPr>
            </w:pPr>
          </w:p>
        </w:tc>
        <w:tc>
          <w:tcPr>
            <w:tcW w:w="4093" w:type="dxa"/>
            <w:tcBorders>
              <w:top w:val="single" w:sz="4" w:space="0" w:color="auto"/>
              <w:left w:val="nil"/>
              <w:bottom w:val="single" w:sz="4" w:space="0" w:color="auto"/>
              <w:right w:val="single" w:sz="4" w:space="0" w:color="auto"/>
            </w:tcBorders>
            <w:shd w:val="clear" w:color="auto" w:fill="auto"/>
            <w:noWrap/>
            <w:vAlign w:val="center"/>
          </w:tcPr>
          <w:p w14:paraId="709CA3C8" w14:textId="0522A89C" w:rsidR="00F21707" w:rsidRPr="00F21707" w:rsidRDefault="008812EF" w:rsidP="008812EF">
            <w:pPr>
              <w:spacing w:after="0" w:line="240" w:lineRule="auto"/>
              <w:ind w:left="214"/>
              <w:jc w:val="center"/>
              <w:rPr>
                <w:rFonts w:ascii="Arial" w:eastAsia="Times New Roman" w:hAnsi="Arial" w:cs="Arial"/>
                <w:bCs/>
                <w:sz w:val="24"/>
                <w:szCs w:val="24"/>
                <w:lang w:eastAsia="pt-BR"/>
              </w:rPr>
            </w:pPr>
            <w:r>
              <w:rPr>
                <w:rFonts w:ascii="Arial" w:eastAsia="Times New Roman" w:hAnsi="Arial" w:cs="Arial"/>
                <w:bCs/>
                <w:sz w:val="24"/>
                <w:szCs w:val="24"/>
                <w:lang w:eastAsia="pt-BR"/>
              </w:rPr>
              <w:t>Substituição do indexador do plano.</w:t>
            </w:r>
          </w:p>
        </w:tc>
      </w:tr>
      <w:tr w:rsidR="00F21707" w:rsidRPr="00BD58BF" w14:paraId="289055F5" w14:textId="77777777" w:rsidTr="00DA5CD9">
        <w:trPr>
          <w:trHeight w:val="20"/>
        </w:trPr>
        <w:tc>
          <w:tcPr>
            <w:tcW w:w="5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0A036" w14:textId="7416227E" w:rsidR="00F21707" w:rsidRPr="00F21707" w:rsidRDefault="008812EF" w:rsidP="00A02D8F">
            <w:pPr>
              <w:spacing w:after="0" w:line="240" w:lineRule="auto"/>
              <w:ind w:right="201"/>
              <w:jc w:val="both"/>
              <w:rPr>
                <w:rFonts w:ascii="Arial" w:eastAsia="Times New Roman" w:hAnsi="Arial" w:cs="Arial"/>
                <w:bCs/>
                <w:sz w:val="24"/>
                <w:szCs w:val="24"/>
                <w:lang w:eastAsia="pt-BR"/>
              </w:rPr>
            </w:pPr>
            <w:r w:rsidRPr="008812EF">
              <w:rPr>
                <w:rFonts w:ascii="Arial" w:eastAsia="Times New Roman" w:hAnsi="Arial" w:cs="Arial"/>
                <w:bCs/>
                <w:sz w:val="24"/>
                <w:szCs w:val="24"/>
                <w:lang w:eastAsia="pt-BR"/>
              </w:rPr>
              <w:t>8.11.5</w:t>
            </w:r>
            <w:r w:rsidRPr="008812EF">
              <w:rPr>
                <w:rFonts w:ascii="Arial" w:eastAsia="Times New Roman" w:hAnsi="Arial" w:cs="Arial"/>
                <w:bCs/>
                <w:sz w:val="24"/>
                <w:szCs w:val="24"/>
                <w:lang w:eastAsia="pt-BR"/>
              </w:rPr>
              <w:tab/>
            </w:r>
            <w:r>
              <w:rPr>
                <w:rFonts w:ascii="Arial" w:eastAsia="Times New Roman" w:hAnsi="Arial" w:cs="Arial"/>
                <w:bCs/>
                <w:sz w:val="24"/>
                <w:szCs w:val="24"/>
                <w:lang w:eastAsia="pt-BR"/>
              </w:rPr>
              <w:t xml:space="preserve"> </w:t>
            </w:r>
            <w:r w:rsidRPr="008812EF">
              <w:rPr>
                <w:rFonts w:ascii="Arial" w:eastAsia="Times New Roman" w:hAnsi="Arial" w:cs="Arial"/>
                <w:bCs/>
                <w:sz w:val="24"/>
                <w:szCs w:val="24"/>
                <w:lang w:eastAsia="pt-BR"/>
              </w:rPr>
              <w:t>Os Benefícios de Aposentadoria por Invalidez, Auxílio-Doença e Pensão por Morte concedidos na forma de renda mensal vitalícia serão reajustados em junho de cada ano, de acordo com a variação do IGP-DI. Eventualmente poderão ser concedidas antecipações de reajustes, conforme determinação do Conselho Deliberativo.</w:t>
            </w:r>
          </w:p>
        </w:tc>
        <w:tc>
          <w:tcPr>
            <w:tcW w:w="5669" w:type="dxa"/>
            <w:tcBorders>
              <w:top w:val="single" w:sz="4" w:space="0" w:color="auto"/>
              <w:left w:val="nil"/>
              <w:bottom w:val="single" w:sz="4" w:space="0" w:color="auto"/>
              <w:right w:val="single" w:sz="4" w:space="0" w:color="auto"/>
            </w:tcBorders>
            <w:shd w:val="clear" w:color="auto" w:fill="auto"/>
            <w:noWrap/>
            <w:vAlign w:val="center"/>
          </w:tcPr>
          <w:p w14:paraId="06EF0C84" w14:textId="020E27B6" w:rsidR="00F21707" w:rsidRPr="008812EF" w:rsidRDefault="008812EF" w:rsidP="008812EF">
            <w:pPr>
              <w:spacing w:after="0" w:line="240" w:lineRule="auto"/>
              <w:jc w:val="both"/>
              <w:rPr>
                <w:rFonts w:ascii="Arial" w:eastAsia="Times New Roman" w:hAnsi="Arial" w:cs="Arial"/>
                <w:sz w:val="24"/>
                <w:szCs w:val="24"/>
                <w:highlight w:val="yellow"/>
                <w:lang w:eastAsia="pt-BR"/>
              </w:rPr>
            </w:pPr>
            <w:r w:rsidRPr="008812EF">
              <w:rPr>
                <w:rFonts w:ascii="Arial" w:eastAsia="Times New Roman" w:hAnsi="Arial" w:cs="Arial"/>
                <w:sz w:val="24"/>
                <w:szCs w:val="24"/>
                <w:lang w:eastAsia="pt-BR"/>
              </w:rPr>
              <w:t>8.11.5</w:t>
            </w:r>
            <w:r>
              <w:rPr>
                <w:rFonts w:ascii="Arial" w:eastAsia="Times New Roman" w:hAnsi="Arial" w:cs="Arial"/>
                <w:sz w:val="24"/>
                <w:szCs w:val="24"/>
                <w:lang w:eastAsia="pt-BR"/>
              </w:rPr>
              <w:t xml:space="preserve"> </w:t>
            </w:r>
            <w:r w:rsidRPr="008812EF">
              <w:rPr>
                <w:rFonts w:ascii="Arial" w:eastAsia="Times New Roman" w:hAnsi="Arial" w:cs="Arial"/>
                <w:sz w:val="24"/>
                <w:szCs w:val="24"/>
                <w:lang w:eastAsia="pt-BR"/>
              </w:rPr>
              <w:t xml:space="preserve">Os Benefícios de Aposentadoria por Invalidez, Auxílio-Doença e Pensão por Morte concedidos na forma de renda mensal vitalícia serão reajustados em junho de cada ano, de acordo com a variação do </w:t>
            </w:r>
            <w:r w:rsidRPr="008812EF">
              <w:rPr>
                <w:rFonts w:ascii="Arial" w:eastAsia="Times New Roman" w:hAnsi="Arial" w:cs="Arial"/>
                <w:b/>
                <w:bCs/>
                <w:sz w:val="24"/>
                <w:szCs w:val="24"/>
                <w:lang w:eastAsia="pt-BR"/>
              </w:rPr>
              <w:t>Índice do Plano</w:t>
            </w:r>
            <w:r>
              <w:rPr>
                <w:rFonts w:ascii="Arial" w:eastAsia="Times New Roman" w:hAnsi="Arial" w:cs="Arial"/>
                <w:sz w:val="24"/>
                <w:szCs w:val="24"/>
                <w:lang w:eastAsia="pt-BR"/>
              </w:rPr>
              <w:t>.</w:t>
            </w:r>
            <w:r w:rsidRPr="008812EF">
              <w:rPr>
                <w:rFonts w:ascii="Arial" w:eastAsia="Times New Roman" w:hAnsi="Arial" w:cs="Arial"/>
                <w:sz w:val="24"/>
                <w:szCs w:val="24"/>
                <w:lang w:eastAsia="pt-BR"/>
              </w:rPr>
              <w:t xml:space="preserve"> Eventualmente poderão ser concedidas antecipações de reajustes, conforme determinação do Conselho Deliberativo.</w:t>
            </w:r>
          </w:p>
        </w:tc>
        <w:tc>
          <w:tcPr>
            <w:tcW w:w="4093" w:type="dxa"/>
            <w:tcBorders>
              <w:top w:val="single" w:sz="4" w:space="0" w:color="auto"/>
              <w:left w:val="nil"/>
              <w:bottom w:val="single" w:sz="4" w:space="0" w:color="auto"/>
              <w:right w:val="single" w:sz="4" w:space="0" w:color="auto"/>
            </w:tcBorders>
            <w:shd w:val="clear" w:color="auto" w:fill="auto"/>
            <w:noWrap/>
            <w:vAlign w:val="center"/>
          </w:tcPr>
          <w:p w14:paraId="1BBFCFB7" w14:textId="67FBB854" w:rsidR="000A36A2" w:rsidRPr="00C55168" w:rsidRDefault="008812EF" w:rsidP="008812EF">
            <w:pPr>
              <w:spacing w:after="0" w:line="240" w:lineRule="auto"/>
              <w:ind w:left="214"/>
              <w:jc w:val="center"/>
              <w:rPr>
                <w:rFonts w:ascii="Arial" w:eastAsia="Times New Roman" w:hAnsi="Arial" w:cs="Arial"/>
                <w:bCs/>
                <w:sz w:val="24"/>
                <w:szCs w:val="24"/>
                <w:lang w:eastAsia="pt-BR"/>
              </w:rPr>
            </w:pPr>
            <w:r>
              <w:rPr>
                <w:rFonts w:ascii="Arial" w:eastAsia="Times New Roman" w:hAnsi="Arial" w:cs="Arial"/>
                <w:bCs/>
                <w:sz w:val="24"/>
                <w:szCs w:val="24"/>
                <w:lang w:eastAsia="pt-BR"/>
              </w:rPr>
              <w:t>Substituição do indexador do plano.</w:t>
            </w:r>
          </w:p>
        </w:tc>
      </w:tr>
      <w:tr w:rsidR="00734A0C" w:rsidRPr="008812EF" w14:paraId="35E78695" w14:textId="77777777" w:rsidTr="00DA5CD9">
        <w:trPr>
          <w:trHeight w:val="20"/>
        </w:trPr>
        <w:tc>
          <w:tcPr>
            <w:tcW w:w="5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CDA1F" w14:textId="77777777" w:rsidR="00734A0C" w:rsidRPr="008812EF" w:rsidRDefault="00734A0C" w:rsidP="008812EF">
            <w:pPr>
              <w:spacing w:after="0" w:line="240" w:lineRule="auto"/>
              <w:ind w:right="201"/>
              <w:jc w:val="both"/>
              <w:rPr>
                <w:rFonts w:ascii="Arial" w:eastAsia="Times New Roman" w:hAnsi="Arial" w:cs="Arial"/>
                <w:bCs/>
                <w:sz w:val="24"/>
                <w:szCs w:val="24"/>
                <w:lang w:eastAsia="pt-BR"/>
              </w:rPr>
            </w:pPr>
          </w:p>
        </w:tc>
        <w:tc>
          <w:tcPr>
            <w:tcW w:w="5669" w:type="dxa"/>
            <w:tcBorders>
              <w:top w:val="single" w:sz="4" w:space="0" w:color="auto"/>
              <w:left w:val="nil"/>
              <w:bottom w:val="single" w:sz="4" w:space="0" w:color="auto"/>
              <w:right w:val="single" w:sz="4" w:space="0" w:color="auto"/>
            </w:tcBorders>
            <w:shd w:val="clear" w:color="auto" w:fill="auto"/>
            <w:noWrap/>
            <w:vAlign w:val="center"/>
          </w:tcPr>
          <w:p w14:paraId="317A6964" w14:textId="3BB9486D" w:rsidR="00734A0C" w:rsidRPr="00734A0C" w:rsidRDefault="00734A0C" w:rsidP="008812EF">
            <w:pPr>
              <w:spacing w:after="0" w:line="240" w:lineRule="auto"/>
              <w:jc w:val="both"/>
              <w:rPr>
                <w:rFonts w:ascii="Arial" w:eastAsia="Times New Roman" w:hAnsi="Arial" w:cs="Arial"/>
                <w:b/>
                <w:sz w:val="24"/>
                <w:szCs w:val="24"/>
                <w:lang w:eastAsia="pt-BR"/>
              </w:rPr>
            </w:pPr>
            <w:bookmarkStart w:id="8" w:name="_Hlk66209707"/>
            <w:r w:rsidRPr="00734A0C">
              <w:rPr>
                <w:rFonts w:ascii="Arial" w:eastAsia="Times New Roman" w:hAnsi="Arial" w:cs="Arial"/>
                <w:b/>
                <w:sz w:val="24"/>
                <w:szCs w:val="24"/>
                <w:lang w:eastAsia="pt-BR"/>
              </w:rPr>
              <w:t xml:space="preserve">9.14.1. Na hipótese de ser elegível ao Benefício de Aposentadoria Normal ou Antecipada, o Participante terá direito a portar para outro plano de benefícios de entidade de previdência complementar ou de companhia seguradora </w:t>
            </w:r>
            <w:r w:rsidRPr="00734A0C">
              <w:rPr>
                <w:rFonts w:ascii="Arial" w:eastAsia="Times New Roman" w:hAnsi="Arial" w:cs="Arial"/>
                <w:b/>
                <w:sz w:val="24"/>
                <w:szCs w:val="24"/>
                <w:lang w:eastAsia="pt-BR"/>
              </w:rPr>
              <w:lastRenderedPageBreak/>
              <w:t xml:space="preserve">100% (cem por cento) do Saldo de Conta Total prevista no item 6.2, registradas pelo Instituto Ambev na data da Rescisão ou, no caso de Participante que tenha optado pelo </w:t>
            </w:r>
            <w:proofErr w:type="spellStart"/>
            <w:r w:rsidRPr="00734A0C">
              <w:rPr>
                <w:rFonts w:ascii="Arial" w:eastAsia="Times New Roman" w:hAnsi="Arial" w:cs="Arial"/>
                <w:b/>
                <w:sz w:val="24"/>
                <w:szCs w:val="24"/>
                <w:lang w:eastAsia="pt-BR"/>
              </w:rPr>
              <w:t>autopatrocínio</w:t>
            </w:r>
            <w:proofErr w:type="spellEnd"/>
            <w:r w:rsidRPr="00734A0C">
              <w:rPr>
                <w:rFonts w:ascii="Arial" w:eastAsia="Times New Roman" w:hAnsi="Arial" w:cs="Arial"/>
                <w:b/>
                <w:sz w:val="24"/>
                <w:szCs w:val="24"/>
                <w:lang w:eastAsia="pt-BR"/>
              </w:rPr>
              <w:t>, na data da cessação das contribuições ao Plano, acrescido de eventuais aportes e do Retorno de Investimentos.</w:t>
            </w:r>
            <w:bookmarkEnd w:id="8"/>
          </w:p>
          <w:p w14:paraId="3BA88EA2" w14:textId="4E1C5B1C" w:rsidR="00734A0C" w:rsidRPr="008812EF" w:rsidRDefault="00734A0C" w:rsidP="008812EF">
            <w:pPr>
              <w:spacing w:after="0" w:line="240" w:lineRule="auto"/>
              <w:jc w:val="both"/>
              <w:rPr>
                <w:rFonts w:ascii="Arial" w:eastAsia="Times New Roman" w:hAnsi="Arial" w:cs="Arial"/>
                <w:bCs/>
                <w:sz w:val="24"/>
                <w:szCs w:val="24"/>
                <w:lang w:eastAsia="pt-BR"/>
              </w:rPr>
            </w:pPr>
          </w:p>
        </w:tc>
        <w:tc>
          <w:tcPr>
            <w:tcW w:w="4093" w:type="dxa"/>
            <w:tcBorders>
              <w:top w:val="single" w:sz="4" w:space="0" w:color="auto"/>
              <w:left w:val="nil"/>
              <w:bottom w:val="single" w:sz="4" w:space="0" w:color="auto"/>
              <w:right w:val="single" w:sz="4" w:space="0" w:color="auto"/>
            </w:tcBorders>
            <w:shd w:val="clear" w:color="auto" w:fill="auto"/>
            <w:noWrap/>
            <w:vAlign w:val="center"/>
          </w:tcPr>
          <w:p w14:paraId="4C74BF9B" w14:textId="5B744DA5" w:rsidR="00734A0C" w:rsidRDefault="0049712C" w:rsidP="008812EF">
            <w:pPr>
              <w:spacing w:after="0" w:line="240" w:lineRule="auto"/>
              <w:ind w:left="214"/>
              <w:jc w:val="center"/>
              <w:rPr>
                <w:rFonts w:ascii="Arial" w:eastAsia="Times New Roman" w:hAnsi="Arial" w:cs="Arial"/>
                <w:bCs/>
                <w:sz w:val="24"/>
                <w:szCs w:val="24"/>
                <w:lang w:eastAsia="pt-BR"/>
              </w:rPr>
            </w:pPr>
            <w:r>
              <w:rPr>
                <w:rFonts w:ascii="Arial" w:eastAsia="Times New Roman" w:hAnsi="Arial" w:cs="Arial"/>
                <w:bCs/>
                <w:sz w:val="24"/>
                <w:szCs w:val="24"/>
                <w:lang w:eastAsia="pt-BR"/>
              </w:rPr>
              <w:lastRenderedPageBreak/>
              <w:t xml:space="preserve">Possibilidade de portabilidade do saldo de conta total aos participantes elegíveis. </w:t>
            </w:r>
          </w:p>
        </w:tc>
      </w:tr>
      <w:tr w:rsidR="00734A0C" w:rsidRPr="008812EF" w14:paraId="073F02D4" w14:textId="77777777" w:rsidTr="00DA5CD9">
        <w:trPr>
          <w:trHeight w:val="20"/>
        </w:trPr>
        <w:tc>
          <w:tcPr>
            <w:tcW w:w="5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EDE2A" w14:textId="77777777" w:rsidR="00734A0C" w:rsidRPr="00734A0C" w:rsidRDefault="00734A0C" w:rsidP="00734A0C">
            <w:pPr>
              <w:spacing w:after="0" w:line="240" w:lineRule="auto"/>
              <w:ind w:right="201"/>
              <w:jc w:val="both"/>
              <w:rPr>
                <w:rFonts w:ascii="Arial" w:eastAsia="Times New Roman" w:hAnsi="Arial" w:cs="Arial"/>
                <w:bCs/>
                <w:sz w:val="24"/>
                <w:szCs w:val="24"/>
                <w:lang w:eastAsia="pt-BR"/>
              </w:rPr>
            </w:pPr>
            <w:r w:rsidRPr="00734A0C">
              <w:rPr>
                <w:rFonts w:ascii="Arial" w:eastAsia="Times New Roman" w:hAnsi="Arial" w:cs="Arial"/>
                <w:bCs/>
                <w:sz w:val="24"/>
                <w:szCs w:val="24"/>
                <w:lang w:eastAsia="pt-BR"/>
              </w:rPr>
              <w:t>9.14.1</w:t>
            </w:r>
            <w:r w:rsidRPr="00734A0C">
              <w:rPr>
                <w:rFonts w:ascii="Arial" w:eastAsia="Times New Roman" w:hAnsi="Arial" w:cs="Arial"/>
                <w:bCs/>
                <w:sz w:val="24"/>
                <w:szCs w:val="24"/>
                <w:lang w:eastAsia="pt-BR"/>
              </w:rPr>
              <w:tab/>
              <w:t>O Participante que estiver enquadrado no disposto no subitem 9.13.1 terá direito a portar somente os recursos inclusos na Conta Portabilidade de que trata o inciso IV do item 6.1 deste Regulamento.</w:t>
            </w:r>
          </w:p>
          <w:p w14:paraId="768DD030" w14:textId="77777777" w:rsidR="00734A0C" w:rsidRPr="00734A0C" w:rsidRDefault="00734A0C" w:rsidP="00734A0C">
            <w:pPr>
              <w:spacing w:after="0" w:line="240" w:lineRule="auto"/>
              <w:ind w:right="201"/>
              <w:jc w:val="both"/>
              <w:rPr>
                <w:rFonts w:ascii="Arial" w:eastAsia="Times New Roman" w:hAnsi="Arial" w:cs="Arial"/>
                <w:bCs/>
                <w:sz w:val="24"/>
                <w:szCs w:val="24"/>
                <w:lang w:eastAsia="pt-BR"/>
              </w:rPr>
            </w:pPr>
            <w:r w:rsidRPr="00734A0C">
              <w:rPr>
                <w:rFonts w:ascii="Arial" w:eastAsia="Times New Roman" w:hAnsi="Arial" w:cs="Arial"/>
                <w:bCs/>
                <w:sz w:val="24"/>
                <w:szCs w:val="24"/>
                <w:lang w:eastAsia="pt-BR"/>
              </w:rPr>
              <w:t>9.14.2</w:t>
            </w:r>
            <w:r w:rsidRPr="00734A0C">
              <w:rPr>
                <w:rFonts w:ascii="Arial" w:eastAsia="Times New Roman" w:hAnsi="Arial" w:cs="Arial"/>
                <w:bCs/>
                <w:sz w:val="24"/>
                <w:szCs w:val="24"/>
                <w:lang w:eastAsia="pt-BR"/>
              </w:rPr>
              <w:tab/>
              <w:t>No prazo previsto na norma vigente, o Instituto Ambev deverá encaminhar à entidade de previdência complementar ou companhia seguradora escolhida pelo Participante, receptora dos recursos, o termo de portabilidade devidamente preenchido.</w:t>
            </w:r>
          </w:p>
          <w:p w14:paraId="376EFA38" w14:textId="3978C6F6" w:rsidR="00734A0C" w:rsidRPr="008812EF" w:rsidRDefault="00734A0C" w:rsidP="00734A0C">
            <w:pPr>
              <w:spacing w:after="0" w:line="240" w:lineRule="auto"/>
              <w:ind w:right="201"/>
              <w:jc w:val="both"/>
              <w:rPr>
                <w:rFonts w:ascii="Arial" w:eastAsia="Times New Roman" w:hAnsi="Arial" w:cs="Arial"/>
                <w:bCs/>
                <w:sz w:val="24"/>
                <w:szCs w:val="24"/>
                <w:lang w:eastAsia="pt-BR"/>
              </w:rPr>
            </w:pPr>
            <w:r w:rsidRPr="00734A0C">
              <w:rPr>
                <w:rFonts w:ascii="Arial" w:eastAsia="Times New Roman" w:hAnsi="Arial" w:cs="Arial"/>
                <w:bCs/>
                <w:sz w:val="24"/>
                <w:szCs w:val="24"/>
                <w:lang w:eastAsia="pt-BR"/>
              </w:rPr>
              <w:t>9.14.3</w:t>
            </w:r>
            <w:r w:rsidRPr="00734A0C">
              <w:rPr>
                <w:rFonts w:ascii="Arial" w:eastAsia="Times New Roman" w:hAnsi="Arial" w:cs="Arial"/>
                <w:bCs/>
                <w:sz w:val="24"/>
                <w:szCs w:val="24"/>
                <w:lang w:eastAsia="pt-BR"/>
              </w:rPr>
              <w:tab/>
              <w:t>A transferência dos recursos financeiros para outro plano de benefícios de entidade de previdência complementar ou de companhia seguradora, conforme escolha do Participante, ocorrerá no prazo previsto na norma vigente aplicável, atualizados de acordo com Retorno de Investimentos.</w:t>
            </w:r>
          </w:p>
        </w:tc>
        <w:tc>
          <w:tcPr>
            <w:tcW w:w="5669" w:type="dxa"/>
            <w:tcBorders>
              <w:top w:val="single" w:sz="4" w:space="0" w:color="auto"/>
              <w:left w:val="nil"/>
              <w:bottom w:val="single" w:sz="4" w:space="0" w:color="auto"/>
              <w:right w:val="single" w:sz="4" w:space="0" w:color="auto"/>
            </w:tcBorders>
            <w:shd w:val="clear" w:color="auto" w:fill="auto"/>
            <w:noWrap/>
            <w:vAlign w:val="center"/>
          </w:tcPr>
          <w:p w14:paraId="62BC3F4C" w14:textId="178A355F" w:rsidR="00734A0C" w:rsidRPr="00734A0C" w:rsidRDefault="00734A0C" w:rsidP="00734A0C">
            <w:pPr>
              <w:spacing w:after="0" w:line="240" w:lineRule="auto"/>
              <w:jc w:val="both"/>
              <w:rPr>
                <w:rFonts w:ascii="Arial" w:eastAsia="Times New Roman" w:hAnsi="Arial" w:cs="Arial"/>
                <w:bCs/>
                <w:sz w:val="24"/>
                <w:szCs w:val="24"/>
                <w:lang w:eastAsia="pt-BR"/>
              </w:rPr>
            </w:pPr>
            <w:r w:rsidRPr="0049712C">
              <w:rPr>
                <w:rFonts w:ascii="Arial" w:eastAsia="Times New Roman" w:hAnsi="Arial" w:cs="Arial"/>
                <w:b/>
                <w:sz w:val="24"/>
                <w:szCs w:val="24"/>
                <w:lang w:eastAsia="pt-BR"/>
              </w:rPr>
              <w:t>9.14.2</w:t>
            </w:r>
            <w:r w:rsidRPr="00734A0C">
              <w:rPr>
                <w:rFonts w:ascii="Arial" w:eastAsia="Times New Roman" w:hAnsi="Arial" w:cs="Arial"/>
                <w:bCs/>
                <w:sz w:val="24"/>
                <w:szCs w:val="24"/>
                <w:lang w:eastAsia="pt-BR"/>
              </w:rPr>
              <w:tab/>
              <w:t>O Participante que estiver enquadrado no disposto no subitem 9.13.1 terá direito a portar somente os recursos inclusos na Conta Portabilidade de que trata o inciso IV do item 6.1 deste Regulamento.</w:t>
            </w:r>
          </w:p>
          <w:p w14:paraId="6AD5320E" w14:textId="7FCA1461" w:rsidR="00734A0C" w:rsidRPr="00734A0C" w:rsidRDefault="00734A0C" w:rsidP="00734A0C">
            <w:pPr>
              <w:spacing w:after="0" w:line="240" w:lineRule="auto"/>
              <w:jc w:val="both"/>
              <w:rPr>
                <w:rFonts w:ascii="Arial" w:eastAsia="Times New Roman" w:hAnsi="Arial" w:cs="Arial"/>
                <w:bCs/>
                <w:sz w:val="24"/>
                <w:szCs w:val="24"/>
                <w:lang w:eastAsia="pt-BR"/>
              </w:rPr>
            </w:pPr>
            <w:r w:rsidRPr="0049712C">
              <w:rPr>
                <w:rFonts w:ascii="Arial" w:eastAsia="Times New Roman" w:hAnsi="Arial" w:cs="Arial"/>
                <w:b/>
                <w:sz w:val="24"/>
                <w:szCs w:val="24"/>
                <w:lang w:eastAsia="pt-BR"/>
              </w:rPr>
              <w:t>9.14.</w:t>
            </w:r>
            <w:r w:rsidR="0049712C" w:rsidRPr="0049712C">
              <w:rPr>
                <w:rFonts w:ascii="Arial" w:eastAsia="Times New Roman" w:hAnsi="Arial" w:cs="Arial"/>
                <w:b/>
                <w:sz w:val="24"/>
                <w:szCs w:val="24"/>
                <w:lang w:eastAsia="pt-BR"/>
              </w:rPr>
              <w:t>3</w:t>
            </w:r>
            <w:r w:rsidRPr="00734A0C">
              <w:rPr>
                <w:rFonts w:ascii="Arial" w:eastAsia="Times New Roman" w:hAnsi="Arial" w:cs="Arial"/>
                <w:bCs/>
                <w:sz w:val="24"/>
                <w:szCs w:val="24"/>
                <w:lang w:eastAsia="pt-BR"/>
              </w:rPr>
              <w:tab/>
              <w:t>No prazo previsto na norma vigente, o Instituto Ambev deverá encaminhar à entidade de previdência complementar ou companhia seguradora escolhida pelo Participante, receptora dos recursos, o termo de portabilidade devidamente preenchido.</w:t>
            </w:r>
          </w:p>
          <w:p w14:paraId="3781F61C" w14:textId="7D3B55DC" w:rsidR="00734A0C" w:rsidRPr="008812EF" w:rsidRDefault="00734A0C" w:rsidP="00734A0C">
            <w:pPr>
              <w:spacing w:after="0" w:line="240" w:lineRule="auto"/>
              <w:jc w:val="both"/>
              <w:rPr>
                <w:rFonts w:ascii="Arial" w:eastAsia="Times New Roman" w:hAnsi="Arial" w:cs="Arial"/>
                <w:bCs/>
                <w:sz w:val="24"/>
                <w:szCs w:val="24"/>
                <w:lang w:eastAsia="pt-BR"/>
              </w:rPr>
            </w:pPr>
            <w:r w:rsidRPr="0049712C">
              <w:rPr>
                <w:rFonts w:ascii="Arial" w:eastAsia="Times New Roman" w:hAnsi="Arial" w:cs="Arial"/>
                <w:b/>
                <w:sz w:val="24"/>
                <w:szCs w:val="24"/>
                <w:lang w:eastAsia="pt-BR"/>
              </w:rPr>
              <w:t>9.14.</w:t>
            </w:r>
            <w:r w:rsidR="0049712C" w:rsidRPr="0049712C">
              <w:rPr>
                <w:rFonts w:ascii="Arial" w:eastAsia="Times New Roman" w:hAnsi="Arial" w:cs="Arial"/>
                <w:b/>
                <w:sz w:val="24"/>
                <w:szCs w:val="24"/>
                <w:lang w:eastAsia="pt-BR"/>
              </w:rPr>
              <w:t>4</w:t>
            </w:r>
            <w:r w:rsidRPr="00734A0C">
              <w:rPr>
                <w:rFonts w:ascii="Arial" w:eastAsia="Times New Roman" w:hAnsi="Arial" w:cs="Arial"/>
                <w:bCs/>
                <w:sz w:val="24"/>
                <w:szCs w:val="24"/>
                <w:lang w:eastAsia="pt-BR"/>
              </w:rPr>
              <w:tab/>
              <w:t>A transferência dos recursos financeiros para outro plano de benefícios de entidade de previdência complementar ou de companhia seguradora, conforme escolha do Participante, ocorrerá no prazo previsto na norma vigente aplicável, atualizados de acordo com Retorno de Investimentos.</w:t>
            </w:r>
          </w:p>
        </w:tc>
        <w:tc>
          <w:tcPr>
            <w:tcW w:w="4093" w:type="dxa"/>
            <w:tcBorders>
              <w:top w:val="single" w:sz="4" w:space="0" w:color="auto"/>
              <w:left w:val="nil"/>
              <w:bottom w:val="single" w:sz="4" w:space="0" w:color="auto"/>
              <w:right w:val="single" w:sz="4" w:space="0" w:color="auto"/>
            </w:tcBorders>
            <w:shd w:val="clear" w:color="auto" w:fill="auto"/>
            <w:noWrap/>
            <w:vAlign w:val="center"/>
          </w:tcPr>
          <w:p w14:paraId="0FCB59C1" w14:textId="775E7B21" w:rsidR="00734A0C" w:rsidRDefault="0049712C" w:rsidP="008812EF">
            <w:pPr>
              <w:spacing w:after="0" w:line="240" w:lineRule="auto"/>
              <w:ind w:left="214"/>
              <w:jc w:val="center"/>
              <w:rPr>
                <w:rFonts w:ascii="Arial" w:eastAsia="Times New Roman" w:hAnsi="Arial" w:cs="Arial"/>
                <w:bCs/>
                <w:sz w:val="24"/>
                <w:szCs w:val="24"/>
                <w:lang w:eastAsia="pt-BR"/>
              </w:rPr>
            </w:pPr>
            <w:r>
              <w:rPr>
                <w:rFonts w:ascii="Arial" w:eastAsia="Times New Roman" w:hAnsi="Arial" w:cs="Arial"/>
                <w:bCs/>
                <w:sz w:val="24"/>
                <w:szCs w:val="24"/>
                <w:lang w:eastAsia="pt-BR"/>
              </w:rPr>
              <w:t xml:space="preserve">Renumeração. </w:t>
            </w:r>
          </w:p>
        </w:tc>
      </w:tr>
      <w:tr w:rsidR="00F21707" w:rsidRPr="008812EF" w14:paraId="47715FBA" w14:textId="77777777" w:rsidTr="00DA5CD9">
        <w:trPr>
          <w:trHeight w:val="20"/>
        </w:trPr>
        <w:tc>
          <w:tcPr>
            <w:tcW w:w="5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633BA" w14:textId="4195ABB4" w:rsidR="00F21707" w:rsidRPr="008812EF" w:rsidRDefault="008812EF" w:rsidP="008812EF">
            <w:pPr>
              <w:spacing w:after="0" w:line="240" w:lineRule="auto"/>
              <w:ind w:right="201"/>
              <w:jc w:val="both"/>
              <w:rPr>
                <w:rFonts w:ascii="Arial" w:eastAsia="Times New Roman" w:hAnsi="Arial" w:cs="Arial"/>
                <w:bCs/>
                <w:sz w:val="24"/>
                <w:szCs w:val="24"/>
                <w:lang w:eastAsia="pt-BR"/>
              </w:rPr>
            </w:pPr>
            <w:r w:rsidRPr="008812EF">
              <w:rPr>
                <w:rFonts w:ascii="Arial" w:eastAsia="Times New Roman" w:hAnsi="Arial" w:cs="Arial"/>
                <w:bCs/>
                <w:sz w:val="24"/>
                <w:szCs w:val="24"/>
                <w:lang w:eastAsia="pt-BR"/>
              </w:rPr>
              <w:t>12.7.1</w:t>
            </w:r>
            <w:r w:rsidRPr="008812EF">
              <w:rPr>
                <w:rFonts w:ascii="Arial" w:eastAsia="Times New Roman" w:hAnsi="Arial" w:cs="Arial"/>
                <w:bCs/>
                <w:sz w:val="24"/>
                <w:szCs w:val="24"/>
                <w:lang w:eastAsia="pt-BR"/>
              </w:rPr>
              <w:tab/>
              <w:t xml:space="preserve">Os valores de que trata o item 12.7 serão atualizados com base na variação do IGP-DI, considerando para esse efeito o período decorrido desde a data do vencimento de cada competência, quando se tratar de crédito ao Participante ou Beneficiário, ou a data do efetivo pagamento em </w:t>
            </w:r>
            <w:r w:rsidRPr="008812EF">
              <w:rPr>
                <w:rFonts w:ascii="Arial" w:eastAsia="Times New Roman" w:hAnsi="Arial" w:cs="Arial"/>
                <w:bCs/>
                <w:sz w:val="24"/>
                <w:szCs w:val="24"/>
                <w:lang w:eastAsia="pt-BR"/>
              </w:rPr>
              <w:lastRenderedPageBreak/>
              <w:t>caso de débito dos mesmos para com o Instituto Ambev, em ambas as situações até o efetivo pagamento.</w:t>
            </w:r>
          </w:p>
        </w:tc>
        <w:tc>
          <w:tcPr>
            <w:tcW w:w="5669" w:type="dxa"/>
            <w:tcBorders>
              <w:top w:val="single" w:sz="4" w:space="0" w:color="auto"/>
              <w:left w:val="nil"/>
              <w:bottom w:val="single" w:sz="4" w:space="0" w:color="auto"/>
              <w:right w:val="single" w:sz="4" w:space="0" w:color="auto"/>
            </w:tcBorders>
            <w:shd w:val="clear" w:color="auto" w:fill="auto"/>
            <w:noWrap/>
            <w:vAlign w:val="center"/>
          </w:tcPr>
          <w:p w14:paraId="57EB2C41" w14:textId="674F533E" w:rsidR="00F21707" w:rsidRPr="008812EF" w:rsidRDefault="008812EF" w:rsidP="008812EF">
            <w:pPr>
              <w:spacing w:after="0" w:line="240" w:lineRule="auto"/>
              <w:jc w:val="both"/>
              <w:rPr>
                <w:rFonts w:ascii="Arial" w:eastAsia="Times New Roman" w:hAnsi="Arial" w:cs="Arial"/>
                <w:bCs/>
                <w:sz w:val="24"/>
                <w:szCs w:val="24"/>
                <w:lang w:eastAsia="pt-BR"/>
              </w:rPr>
            </w:pPr>
            <w:r w:rsidRPr="008812EF">
              <w:rPr>
                <w:rFonts w:ascii="Arial" w:eastAsia="Times New Roman" w:hAnsi="Arial" w:cs="Arial"/>
                <w:bCs/>
                <w:sz w:val="24"/>
                <w:szCs w:val="24"/>
                <w:lang w:eastAsia="pt-BR"/>
              </w:rPr>
              <w:lastRenderedPageBreak/>
              <w:t>12.7.1</w:t>
            </w:r>
            <w:r w:rsidRPr="008812EF">
              <w:rPr>
                <w:rFonts w:ascii="Arial" w:eastAsia="Times New Roman" w:hAnsi="Arial" w:cs="Arial"/>
                <w:bCs/>
                <w:sz w:val="24"/>
                <w:szCs w:val="24"/>
                <w:lang w:eastAsia="pt-BR"/>
              </w:rPr>
              <w:tab/>
              <w:t>Os valores de que trata o item 12.7 serão atualizados com base na variação do</w:t>
            </w:r>
            <w:r>
              <w:rPr>
                <w:rFonts w:ascii="Arial" w:eastAsia="Times New Roman" w:hAnsi="Arial" w:cs="Arial"/>
                <w:bCs/>
                <w:sz w:val="24"/>
                <w:szCs w:val="24"/>
                <w:lang w:eastAsia="pt-BR"/>
              </w:rPr>
              <w:t xml:space="preserve"> </w:t>
            </w:r>
            <w:r w:rsidRPr="008812EF">
              <w:rPr>
                <w:rFonts w:ascii="Arial" w:eastAsia="Times New Roman" w:hAnsi="Arial" w:cs="Arial"/>
                <w:b/>
                <w:sz w:val="24"/>
                <w:szCs w:val="24"/>
                <w:lang w:eastAsia="pt-BR"/>
              </w:rPr>
              <w:t>Índice do Plano</w:t>
            </w:r>
            <w:r>
              <w:rPr>
                <w:rFonts w:ascii="Arial" w:eastAsia="Times New Roman" w:hAnsi="Arial" w:cs="Arial"/>
                <w:bCs/>
                <w:lang w:eastAsia="pt-BR"/>
              </w:rPr>
              <w:t xml:space="preserve">, </w:t>
            </w:r>
            <w:r w:rsidRPr="008812EF">
              <w:rPr>
                <w:rFonts w:ascii="Arial" w:eastAsia="Times New Roman" w:hAnsi="Arial" w:cs="Arial"/>
                <w:bCs/>
                <w:sz w:val="24"/>
                <w:szCs w:val="24"/>
                <w:lang w:eastAsia="pt-BR"/>
              </w:rPr>
              <w:t xml:space="preserve">considerando para esse efeito o período decorrido desde a data do vencimento de cada competência, quando se tratar de crédito ao Participante ou Beneficiário, ou a data do efetivo </w:t>
            </w:r>
            <w:r w:rsidRPr="008812EF">
              <w:rPr>
                <w:rFonts w:ascii="Arial" w:eastAsia="Times New Roman" w:hAnsi="Arial" w:cs="Arial"/>
                <w:bCs/>
                <w:sz w:val="24"/>
                <w:szCs w:val="24"/>
                <w:lang w:eastAsia="pt-BR"/>
              </w:rPr>
              <w:lastRenderedPageBreak/>
              <w:t>pagamento em caso de débito dos mesmos para com o Instituto Ambev, em ambas as situações até o efetivo pagamento.</w:t>
            </w:r>
          </w:p>
        </w:tc>
        <w:tc>
          <w:tcPr>
            <w:tcW w:w="4093" w:type="dxa"/>
            <w:tcBorders>
              <w:top w:val="single" w:sz="4" w:space="0" w:color="auto"/>
              <w:left w:val="nil"/>
              <w:bottom w:val="single" w:sz="4" w:space="0" w:color="auto"/>
              <w:right w:val="single" w:sz="4" w:space="0" w:color="auto"/>
            </w:tcBorders>
            <w:shd w:val="clear" w:color="auto" w:fill="auto"/>
            <w:noWrap/>
            <w:vAlign w:val="center"/>
          </w:tcPr>
          <w:p w14:paraId="740D909A" w14:textId="5BA4800D" w:rsidR="00F21707" w:rsidRPr="008812EF" w:rsidRDefault="008812EF" w:rsidP="008812EF">
            <w:pPr>
              <w:spacing w:after="0" w:line="240" w:lineRule="auto"/>
              <w:ind w:left="214"/>
              <w:jc w:val="center"/>
              <w:rPr>
                <w:rFonts w:ascii="Arial" w:eastAsia="Times New Roman" w:hAnsi="Arial" w:cs="Arial"/>
                <w:bCs/>
                <w:sz w:val="24"/>
                <w:szCs w:val="24"/>
                <w:lang w:eastAsia="pt-BR"/>
              </w:rPr>
            </w:pPr>
            <w:r>
              <w:rPr>
                <w:rFonts w:ascii="Arial" w:eastAsia="Times New Roman" w:hAnsi="Arial" w:cs="Arial"/>
                <w:bCs/>
                <w:sz w:val="24"/>
                <w:szCs w:val="24"/>
                <w:lang w:eastAsia="pt-BR"/>
              </w:rPr>
              <w:lastRenderedPageBreak/>
              <w:t>Substituição do indexador do plano.</w:t>
            </w:r>
          </w:p>
        </w:tc>
      </w:tr>
      <w:tr w:rsidR="006957C3" w:rsidRPr="00BD58BF" w14:paraId="26D5D46D" w14:textId="77777777" w:rsidTr="00DA5CD9">
        <w:trPr>
          <w:trHeight w:val="20"/>
        </w:trPr>
        <w:tc>
          <w:tcPr>
            <w:tcW w:w="5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DC71E" w14:textId="4A94821C" w:rsidR="00C04FAE" w:rsidRDefault="00C04FAE" w:rsidP="006957C3">
            <w:pPr>
              <w:spacing w:after="0" w:line="240" w:lineRule="auto"/>
              <w:ind w:right="201"/>
              <w:jc w:val="both"/>
              <w:rPr>
                <w:rFonts w:ascii="Arial" w:eastAsia="Times New Roman" w:hAnsi="Arial" w:cs="Arial"/>
                <w:bCs/>
                <w:sz w:val="24"/>
                <w:szCs w:val="24"/>
                <w:lang w:eastAsia="pt-BR"/>
              </w:rPr>
            </w:pPr>
            <w:r w:rsidRPr="00C04FAE">
              <w:rPr>
                <w:rFonts w:ascii="Arial" w:eastAsia="Times New Roman" w:hAnsi="Arial" w:cs="Arial"/>
                <w:bCs/>
                <w:sz w:val="24"/>
                <w:szCs w:val="24"/>
                <w:lang w:eastAsia="pt-BR"/>
              </w:rPr>
              <w:t>Seção III – Do Salário Unitário</w:t>
            </w:r>
          </w:p>
          <w:p w14:paraId="3E504FFA" w14:textId="77777777" w:rsidR="00C04FAE" w:rsidRDefault="00C04FAE" w:rsidP="006957C3">
            <w:pPr>
              <w:spacing w:after="0" w:line="240" w:lineRule="auto"/>
              <w:ind w:right="201"/>
              <w:jc w:val="both"/>
              <w:rPr>
                <w:rFonts w:ascii="Arial" w:eastAsia="Times New Roman" w:hAnsi="Arial" w:cs="Arial"/>
                <w:bCs/>
                <w:sz w:val="24"/>
                <w:szCs w:val="24"/>
                <w:lang w:eastAsia="pt-BR"/>
              </w:rPr>
            </w:pPr>
          </w:p>
          <w:p w14:paraId="01731EBE" w14:textId="0DC9E834" w:rsidR="006957C3" w:rsidRPr="00F21707" w:rsidRDefault="008812EF" w:rsidP="006957C3">
            <w:pPr>
              <w:spacing w:after="0" w:line="240" w:lineRule="auto"/>
              <w:ind w:right="201"/>
              <w:jc w:val="both"/>
              <w:rPr>
                <w:rFonts w:ascii="Arial" w:eastAsia="Times New Roman" w:hAnsi="Arial" w:cs="Arial"/>
                <w:bCs/>
                <w:sz w:val="24"/>
                <w:szCs w:val="24"/>
                <w:lang w:eastAsia="pt-BR"/>
              </w:rPr>
            </w:pPr>
            <w:r w:rsidRPr="008812EF">
              <w:rPr>
                <w:rFonts w:ascii="Arial" w:eastAsia="Times New Roman" w:hAnsi="Arial" w:cs="Arial"/>
                <w:bCs/>
                <w:sz w:val="24"/>
                <w:szCs w:val="24"/>
                <w:lang w:eastAsia="pt-BR"/>
              </w:rPr>
              <w:t>13.15</w:t>
            </w:r>
            <w:r w:rsidRPr="008812EF">
              <w:rPr>
                <w:rFonts w:ascii="Arial" w:eastAsia="Times New Roman" w:hAnsi="Arial" w:cs="Arial"/>
                <w:bCs/>
                <w:sz w:val="24"/>
                <w:szCs w:val="24"/>
                <w:lang w:eastAsia="pt-BR"/>
              </w:rPr>
              <w:tab/>
              <w:t>Até a data da aprovação pela autoridade competente das alterações promovidas neste Regulamento, o Salário Unitário foi reajustado mensalmente pelo IGP-DI ou outro índice fixado a critério do Conselho Deliberativo do Instituto Ambev. O primeiro reajuste do Salário Unitário após a aprovação deste Regulamento será proporcional ao número de meses decorridos desde o mês subsequente ao de aprovação até o próximo mês de dezembro.</w:t>
            </w:r>
          </w:p>
        </w:tc>
        <w:tc>
          <w:tcPr>
            <w:tcW w:w="5669" w:type="dxa"/>
            <w:tcBorders>
              <w:top w:val="single" w:sz="4" w:space="0" w:color="auto"/>
              <w:left w:val="nil"/>
              <w:bottom w:val="single" w:sz="4" w:space="0" w:color="auto"/>
              <w:right w:val="single" w:sz="4" w:space="0" w:color="auto"/>
            </w:tcBorders>
            <w:shd w:val="clear" w:color="auto" w:fill="auto"/>
            <w:noWrap/>
            <w:vAlign w:val="center"/>
          </w:tcPr>
          <w:p w14:paraId="386F00F7" w14:textId="12528FFB" w:rsidR="006957C3" w:rsidRPr="008812EF" w:rsidRDefault="008812EF" w:rsidP="008812EF">
            <w:pPr>
              <w:spacing w:after="0" w:line="240" w:lineRule="auto"/>
              <w:jc w:val="center"/>
              <w:rPr>
                <w:rFonts w:ascii="Arial" w:eastAsia="Times New Roman" w:hAnsi="Arial" w:cs="Arial"/>
                <w:b/>
                <w:sz w:val="24"/>
                <w:szCs w:val="24"/>
                <w:lang w:eastAsia="pt-BR"/>
              </w:rPr>
            </w:pPr>
            <w:r w:rsidRPr="008812EF">
              <w:rPr>
                <w:rFonts w:ascii="Arial" w:eastAsia="Times New Roman" w:hAnsi="Arial" w:cs="Arial"/>
                <w:b/>
                <w:sz w:val="24"/>
                <w:szCs w:val="24"/>
                <w:lang w:eastAsia="pt-BR"/>
              </w:rPr>
              <w:t>Excluído</w:t>
            </w:r>
          </w:p>
        </w:tc>
        <w:tc>
          <w:tcPr>
            <w:tcW w:w="4093" w:type="dxa"/>
            <w:tcBorders>
              <w:top w:val="single" w:sz="4" w:space="0" w:color="auto"/>
              <w:left w:val="nil"/>
              <w:bottom w:val="single" w:sz="4" w:space="0" w:color="auto"/>
              <w:right w:val="single" w:sz="4" w:space="0" w:color="auto"/>
            </w:tcBorders>
            <w:shd w:val="clear" w:color="auto" w:fill="auto"/>
            <w:noWrap/>
            <w:vAlign w:val="center"/>
          </w:tcPr>
          <w:p w14:paraId="1584E870" w14:textId="76E4E785" w:rsidR="006957C3" w:rsidRPr="00F21707" w:rsidRDefault="008812EF" w:rsidP="008812EF">
            <w:pPr>
              <w:spacing w:after="0" w:line="240" w:lineRule="auto"/>
              <w:ind w:left="214"/>
              <w:jc w:val="center"/>
              <w:rPr>
                <w:rFonts w:ascii="Arial" w:eastAsia="Times New Roman" w:hAnsi="Arial" w:cs="Arial"/>
                <w:bCs/>
                <w:sz w:val="24"/>
                <w:szCs w:val="24"/>
                <w:lang w:eastAsia="pt-BR"/>
              </w:rPr>
            </w:pPr>
            <w:r>
              <w:rPr>
                <w:rFonts w:ascii="Arial" w:eastAsia="Times New Roman" w:hAnsi="Arial" w:cs="Arial"/>
                <w:bCs/>
                <w:sz w:val="24"/>
                <w:szCs w:val="24"/>
                <w:lang w:eastAsia="pt-BR"/>
              </w:rPr>
              <w:t>Regra transitória já superada.</w:t>
            </w:r>
          </w:p>
        </w:tc>
      </w:tr>
      <w:tr w:rsidR="006957C3" w:rsidRPr="00BD58BF" w14:paraId="358C5C16" w14:textId="77777777" w:rsidTr="00DA5CD9">
        <w:trPr>
          <w:trHeight w:val="20"/>
        </w:trPr>
        <w:tc>
          <w:tcPr>
            <w:tcW w:w="5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DD2D0" w14:textId="2765349D" w:rsidR="006957C3" w:rsidRPr="00F21707" w:rsidRDefault="006957C3" w:rsidP="006957C3">
            <w:pPr>
              <w:spacing w:after="0" w:line="240" w:lineRule="auto"/>
              <w:ind w:left="214" w:right="201"/>
              <w:jc w:val="both"/>
              <w:rPr>
                <w:rFonts w:ascii="Arial" w:eastAsia="Times New Roman" w:hAnsi="Arial" w:cs="Arial"/>
                <w:bCs/>
                <w:sz w:val="24"/>
                <w:szCs w:val="24"/>
                <w:lang w:eastAsia="pt-BR"/>
              </w:rPr>
            </w:pPr>
          </w:p>
        </w:tc>
        <w:tc>
          <w:tcPr>
            <w:tcW w:w="5669" w:type="dxa"/>
            <w:tcBorders>
              <w:top w:val="single" w:sz="4" w:space="0" w:color="auto"/>
              <w:left w:val="nil"/>
              <w:bottom w:val="single" w:sz="4" w:space="0" w:color="auto"/>
              <w:right w:val="single" w:sz="4" w:space="0" w:color="auto"/>
            </w:tcBorders>
            <w:shd w:val="clear" w:color="auto" w:fill="auto"/>
            <w:noWrap/>
            <w:vAlign w:val="center"/>
          </w:tcPr>
          <w:p w14:paraId="5B8D2A29" w14:textId="62A9CE88" w:rsidR="006957C3" w:rsidRPr="006957C3" w:rsidRDefault="006957C3" w:rsidP="006957C3">
            <w:pPr>
              <w:spacing w:after="0" w:line="240" w:lineRule="auto"/>
              <w:ind w:left="214"/>
              <w:jc w:val="center"/>
              <w:rPr>
                <w:rFonts w:ascii="Arial" w:eastAsia="Times New Roman" w:hAnsi="Arial" w:cs="Arial"/>
                <w:b/>
                <w:bCs/>
                <w:sz w:val="24"/>
                <w:szCs w:val="24"/>
                <w:lang w:eastAsia="pt-BR"/>
              </w:rPr>
            </w:pPr>
          </w:p>
        </w:tc>
        <w:tc>
          <w:tcPr>
            <w:tcW w:w="4093" w:type="dxa"/>
            <w:tcBorders>
              <w:top w:val="single" w:sz="4" w:space="0" w:color="auto"/>
              <w:left w:val="nil"/>
              <w:bottom w:val="single" w:sz="4" w:space="0" w:color="auto"/>
              <w:right w:val="single" w:sz="4" w:space="0" w:color="auto"/>
            </w:tcBorders>
            <w:shd w:val="clear" w:color="auto" w:fill="auto"/>
            <w:noWrap/>
            <w:vAlign w:val="center"/>
          </w:tcPr>
          <w:p w14:paraId="5197545D" w14:textId="0CCC4FED" w:rsidR="006957C3" w:rsidRPr="00F21707" w:rsidRDefault="006957C3" w:rsidP="006957C3">
            <w:pPr>
              <w:spacing w:after="0" w:line="240" w:lineRule="auto"/>
              <w:ind w:left="214"/>
              <w:jc w:val="both"/>
              <w:rPr>
                <w:rFonts w:ascii="Arial" w:eastAsia="Times New Roman" w:hAnsi="Arial" w:cs="Arial"/>
                <w:bCs/>
                <w:sz w:val="24"/>
                <w:szCs w:val="24"/>
                <w:lang w:eastAsia="pt-BR"/>
              </w:rPr>
            </w:pPr>
          </w:p>
        </w:tc>
      </w:tr>
      <w:tr w:rsidR="006957C3" w:rsidRPr="006957C3" w14:paraId="62AD4DD6" w14:textId="77777777" w:rsidTr="00DA5CD9">
        <w:trPr>
          <w:trHeight w:val="20"/>
        </w:trPr>
        <w:tc>
          <w:tcPr>
            <w:tcW w:w="5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BF55D" w14:textId="77777777" w:rsidR="006957C3" w:rsidRPr="006957C3" w:rsidRDefault="006957C3" w:rsidP="006957C3">
            <w:pPr>
              <w:spacing w:after="0" w:line="240" w:lineRule="auto"/>
              <w:ind w:left="214" w:right="201" w:hanging="53"/>
              <w:jc w:val="both"/>
              <w:rPr>
                <w:rFonts w:ascii="Arial" w:eastAsia="Times New Roman" w:hAnsi="Arial" w:cs="Arial"/>
                <w:bCs/>
                <w:sz w:val="24"/>
                <w:szCs w:val="24"/>
                <w:lang w:eastAsia="pt-BR"/>
              </w:rPr>
            </w:pPr>
          </w:p>
        </w:tc>
        <w:tc>
          <w:tcPr>
            <w:tcW w:w="5669" w:type="dxa"/>
            <w:tcBorders>
              <w:top w:val="single" w:sz="4" w:space="0" w:color="auto"/>
              <w:left w:val="nil"/>
              <w:bottom w:val="single" w:sz="4" w:space="0" w:color="auto"/>
              <w:right w:val="single" w:sz="4" w:space="0" w:color="auto"/>
            </w:tcBorders>
            <w:shd w:val="clear" w:color="auto" w:fill="auto"/>
            <w:noWrap/>
            <w:vAlign w:val="center"/>
          </w:tcPr>
          <w:p w14:paraId="2850C17C" w14:textId="70A03284" w:rsidR="00630B23" w:rsidRPr="00630B23" w:rsidRDefault="00630B23" w:rsidP="00630B23">
            <w:pPr>
              <w:pStyle w:val="Corpodetexto"/>
              <w:spacing w:before="79" w:line="247" w:lineRule="auto"/>
              <w:ind w:right="135"/>
              <w:jc w:val="center"/>
              <w:rPr>
                <w:rFonts w:ascii="Arial" w:hAnsi="Arial" w:cs="Arial"/>
                <w:b/>
                <w:bCs/>
                <w:lang w:eastAsia="pt-BR"/>
              </w:rPr>
            </w:pPr>
          </w:p>
        </w:tc>
        <w:tc>
          <w:tcPr>
            <w:tcW w:w="4093" w:type="dxa"/>
            <w:tcBorders>
              <w:top w:val="single" w:sz="4" w:space="0" w:color="auto"/>
              <w:left w:val="nil"/>
              <w:bottom w:val="single" w:sz="4" w:space="0" w:color="auto"/>
              <w:right w:val="single" w:sz="4" w:space="0" w:color="auto"/>
            </w:tcBorders>
            <w:shd w:val="clear" w:color="auto" w:fill="auto"/>
            <w:noWrap/>
            <w:vAlign w:val="center"/>
          </w:tcPr>
          <w:p w14:paraId="3D1B7D93" w14:textId="1D3F45B1" w:rsidR="00630B23" w:rsidRPr="006957C3" w:rsidRDefault="00630B23" w:rsidP="006957C3">
            <w:pPr>
              <w:spacing w:after="0" w:line="240" w:lineRule="auto"/>
              <w:ind w:left="214"/>
              <w:jc w:val="both"/>
              <w:rPr>
                <w:rFonts w:ascii="Arial" w:eastAsia="Times New Roman" w:hAnsi="Arial" w:cs="Arial"/>
                <w:bCs/>
                <w:sz w:val="24"/>
                <w:szCs w:val="24"/>
                <w:lang w:eastAsia="pt-BR"/>
              </w:rPr>
            </w:pPr>
          </w:p>
        </w:tc>
      </w:tr>
    </w:tbl>
    <w:p w14:paraId="0EC79773" w14:textId="77777777" w:rsidR="00106D84" w:rsidRPr="00BD58BF" w:rsidRDefault="00106D84" w:rsidP="00320A90">
      <w:pPr>
        <w:ind w:left="214"/>
        <w:jc w:val="both"/>
        <w:rPr>
          <w:rFonts w:ascii="Arial" w:hAnsi="Arial" w:cs="Arial"/>
          <w:sz w:val="24"/>
          <w:szCs w:val="24"/>
        </w:rPr>
      </w:pPr>
    </w:p>
    <w:sectPr w:rsidR="00106D84" w:rsidRPr="00BD58BF" w:rsidSect="00106D84">
      <w:headerReference w:type="default" r:id="rId10"/>
      <w:footerReference w:type="default" r:id="rId11"/>
      <w:headerReference w:type="first" r:id="rId12"/>
      <w:footerReference w:type="first" r:id="rId13"/>
      <w:pgSz w:w="16838" w:h="11906" w:orient="landscape"/>
      <w:pgMar w:top="851" w:right="765" w:bottom="851" w:left="76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15DCB" w14:textId="77777777" w:rsidR="003D16B2" w:rsidRDefault="003D16B2" w:rsidP="00106D84">
      <w:pPr>
        <w:spacing w:after="0" w:line="240" w:lineRule="auto"/>
      </w:pPr>
      <w:r>
        <w:separator/>
      </w:r>
    </w:p>
  </w:endnote>
  <w:endnote w:type="continuationSeparator" w:id="0">
    <w:p w14:paraId="57DE1BA4" w14:textId="77777777" w:rsidR="003D16B2" w:rsidRDefault="003D16B2" w:rsidP="0010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F7861" w14:textId="71508F2A" w:rsidR="003D16B2" w:rsidRPr="00106D84" w:rsidRDefault="003D16B2" w:rsidP="00106D84">
    <w:pPr>
      <w:pStyle w:val="Rodap"/>
      <w:jc w:val="right"/>
      <w:rPr>
        <w:rFonts w:ascii="Arial" w:hAnsi="Arial" w:cs="Arial"/>
        <w:b/>
        <w:bCs/>
        <w:sz w:val="16"/>
        <w:szCs w:val="16"/>
      </w:rPr>
    </w:pPr>
    <w:r w:rsidRPr="00106D84">
      <w:rPr>
        <w:rFonts w:ascii="Arial" w:hAnsi="Arial" w:cs="Arial"/>
        <w:sz w:val="16"/>
        <w:szCs w:val="16"/>
      </w:rPr>
      <w:t xml:space="preserve">Página </w:t>
    </w:r>
    <w:r w:rsidRPr="00106D84">
      <w:rPr>
        <w:rFonts w:ascii="Arial" w:hAnsi="Arial" w:cs="Arial"/>
        <w:b/>
        <w:bCs/>
        <w:sz w:val="16"/>
        <w:szCs w:val="16"/>
      </w:rPr>
      <w:fldChar w:fldCharType="begin"/>
    </w:r>
    <w:r w:rsidRPr="00106D84">
      <w:rPr>
        <w:rFonts w:ascii="Arial" w:hAnsi="Arial" w:cs="Arial"/>
        <w:b/>
        <w:bCs/>
        <w:sz w:val="16"/>
        <w:szCs w:val="16"/>
      </w:rPr>
      <w:instrText>PAGE  \* Arabic  \* MERGEFORMAT</w:instrText>
    </w:r>
    <w:r w:rsidRPr="00106D84">
      <w:rPr>
        <w:rFonts w:ascii="Arial" w:hAnsi="Arial" w:cs="Arial"/>
        <w:b/>
        <w:bCs/>
        <w:sz w:val="16"/>
        <w:szCs w:val="16"/>
      </w:rPr>
      <w:fldChar w:fldCharType="separate"/>
    </w:r>
    <w:r w:rsidR="001268AA">
      <w:rPr>
        <w:rFonts w:ascii="Arial" w:hAnsi="Arial" w:cs="Arial"/>
        <w:b/>
        <w:bCs/>
        <w:noProof/>
        <w:sz w:val="16"/>
        <w:szCs w:val="16"/>
      </w:rPr>
      <w:t>30</w:t>
    </w:r>
    <w:r w:rsidRPr="00106D84">
      <w:rPr>
        <w:rFonts w:ascii="Arial" w:hAnsi="Arial" w:cs="Arial"/>
        <w:b/>
        <w:bCs/>
        <w:sz w:val="16"/>
        <w:szCs w:val="16"/>
      </w:rPr>
      <w:fldChar w:fldCharType="end"/>
    </w:r>
    <w:r w:rsidRPr="00106D84">
      <w:rPr>
        <w:rFonts w:ascii="Arial" w:hAnsi="Arial" w:cs="Arial"/>
        <w:sz w:val="16"/>
        <w:szCs w:val="16"/>
      </w:rPr>
      <w:t>/</w:t>
    </w:r>
    <w:fldSimple w:instr="NUMPAGES  \* Arabic  \* MERGEFORMAT">
      <w:r w:rsidR="001268AA" w:rsidRPr="001268AA">
        <w:rPr>
          <w:rFonts w:ascii="Arial" w:hAnsi="Arial" w:cs="Arial"/>
          <w:b/>
          <w:bCs/>
          <w:noProof/>
          <w:sz w:val="16"/>
          <w:szCs w:val="16"/>
        </w:rPr>
        <w:t>39</w:t>
      </w:r>
    </w:fldSimple>
  </w:p>
  <w:p w14:paraId="270955ED" w14:textId="3657C4AD" w:rsidR="003D16B2" w:rsidRDefault="003D16B2" w:rsidP="00CF63AC">
    <w:pPr>
      <w:pStyle w:val="Rodap"/>
      <w:jc w:val="right"/>
    </w:pPr>
    <w:r w:rsidRPr="00106D84">
      <w:rPr>
        <w:rFonts w:ascii="Arial" w:hAnsi="Arial" w:cs="Arial"/>
        <w:b/>
        <w:bCs/>
        <w:sz w:val="16"/>
        <w:szCs w:val="16"/>
      </w:rPr>
      <w:t xml:space="preserve">Quadro Comparativo Plano </w:t>
    </w:r>
    <w:r w:rsidR="008812EF">
      <w:rPr>
        <w:rFonts w:ascii="Arial" w:hAnsi="Arial" w:cs="Arial"/>
        <w:b/>
        <w:bCs/>
        <w:sz w:val="16"/>
        <w:szCs w:val="16"/>
      </w:rPr>
      <w:t>CD - IAPP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41D1E" w14:textId="79AA95EA" w:rsidR="003D16B2" w:rsidRPr="00106D84" w:rsidRDefault="003D16B2" w:rsidP="00106D84">
    <w:pPr>
      <w:pStyle w:val="Rodap"/>
      <w:jc w:val="right"/>
      <w:rPr>
        <w:rFonts w:ascii="Arial" w:hAnsi="Arial" w:cs="Arial"/>
        <w:b/>
        <w:bCs/>
        <w:sz w:val="16"/>
        <w:szCs w:val="16"/>
      </w:rPr>
    </w:pPr>
    <w:r w:rsidRPr="00106D84">
      <w:rPr>
        <w:rFonts w:ascii="Arial" w:hAnsi="Arial" w:cs="Arial"/>
        <w:sz w:val="16"/>
        <w:szCs w:val="16"/>
      </w:rPr>
      <w:t xml:space="preserve">Página </w:t>
    </w:r>
    <w:r w:rsidRPr="00106D84">
      <w:rPr>
        <w:rFonts w:ascii="Arial" w:hAnsi="Arial" w:cs="Arial"/>
        <w:b/>
        <w:bCs/>
        <w:sz w:val="16"/>
        <w:szCs w:val="16"/>
      </w:rPr>
      <w:fldChar w:fldCharType="begin"/>
    </w:r>
    <w:r w:rsidRPr="00106D84">
      <w:rPr>
        <w:rFonts w:ascii="Arial" w:hAnsi="Arial" w:cs="Arial"/>
        <w:b/>
        <w:bCs/>
        <w:sz w:val="16"/>
        <w:szCs w:val="16"/>
      </w:rPr>
      <w:instrText>PAGE  \* Arabic  \* MERGEFORMAT</w:instrText>
    </w:r>
    <w:r w:rsidRPr="00106D84">
      <w:rPr>
        <w:rFonts w:ascii="Arial" w:hAnsi="Arial" w:cs="Arial"/>
        <w:b/>
        <w:bCs/>
        <w:sz w:val="16"/>
        <w:szCs w:val="16"/>
      </w:rPr>
      <w:fldChar w:fldCharType="separate"/>
    </w:r>
    <w:r w:rsidR="001268AA">
      <w:rPr>
        <w:rFonts w:ascii="Arial" w:hAnsi="Arial" w:cs="Arial"/>
        <w:b/>
        <w:bCs/>
        <w:noProof/>
        <w:sz w:val="16"/>
        <w:szCs w:val="16"/>
      </w:rPr>
      <w:t>1</w:t>
    </w:r>
    <w:r w:rsidRPr="00106D84">
      <w:rPr>
        <w:rFonts w:ascii="Arial" w:hAnsi="Arial" w:cs="Arial"/>
        <w:b/>
        <w:bCs/>
        <w:sz w:val="16"/>
        <w:szCs w:val="16"/>
      </w:rPr>
      <w:fldChar w:fldCharType="end"/>
    </w:r>
    <w:r w:rsidRPr="00106D84">
      <w:rPr>
        <w:rFonts w:ascii="Arial" w:hAnsi="Arial" w:cs="Arial"/>
        <w:sz w:val="16"/>
        <w:szCs w:val="16"/>
      </w:rPr>
      <w:t>/</w:t>
    </w:r>
    <w:fldSimple w:instr="NUMPAGES  \* Arabic  \* MERGEFORMAT">
      <w:r w:rsidR="001268AA" w:rsidRPr="001268AA">
        <w:rPr>
          <w:rFonts w:ascii="Arial" w:hAnsi="Arial" w:cs="Arial"/>
          <w:b/>
          <w:bCs/>
          <w:noProof/>
          <w:sz w:val="16"/>
          <w:szCs w:val="16"/>
        </w:rPr>
        <w:t>39</w:t>
      </w:r>
    </w:fldSimple>
  </w:p>
  <w:p w14:paraId="236DF260" w14:textId="7C4C3D8A" w:rsidR="003D16B2" w:rsidRPr="00106D84" w:rsidRDefault="003D16B2" w:rsidP="00106D84">
    <w:pPr>
      <w:pStyle w:val="Rodap"/>
      <w:jc w:val="right"/>
      <w:rPr>
        <w:rFonts w:ascii="Arial" w:hAnsi="Arial" w:cs="Arial"/>
        <w:b/>
        <w:bCs/>
        <w:sz w:val="16"/>
        <w:szCs w:val="16"/>
      </w:rPr>
    </w:pPr>
    <w:r w:rsidRPr="00106D84">
      <w:rPr>
        <w:rFonts w:ascii="Arial" w:hAnsi="Arial" w:cs="Arial"/>
        <w:b/>
        <w:bCs/>
        <w:sz w:val="16"/>
        <w:szCs w:val="16"/>
      </w:rPr>
      <w:t xml:space="preserve">Quadro Comparativo Plano </w:t>
    </w:r>
    <w:r w:rsidR="008812EF">
      <w:rPr>
        <w:rFonts w:ascii="Arial" w:hAnsi="Arial" w:cs="Arial"/>
        <w:b/>
        <w:bCs/>
        <w:sz w:val="16"/>
        <w:szCs w:val="16"/>
      </w:rPr>
      <w:t>CD - IAPP</w:t>
    </w:r>
    <w:r>
      <w:rPr>
        <w:rFonts w:ascii="Arial" w:hAnsi="Arial" w:cs="Arial"/>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A46CF" w14:textId="77777777" w:rsidR="003D16B2" w:rsidRDefault="003D16B2" w:rsidP="00106D84">
      <w:pPr>
        <w:spacing w:after="0" w:line="240" w:lineRule="auto"/>
      </w:pPr>
      <w:r>
        <w:separator/>
      </w:r>
    </w:p>
  </w:footnote>
  <w:footnote w:type="continuationSeparator" w:id="0">
    <w:p w14:paraId="7B663CBD" w14:textId="77777777" w:rsidR="003D16B2" w:rsidRDefault="003D16B2" w:rsidP="00106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963BB" w14:textId="77777777" w:rsidR="008812EF" w:rsidRDefault="008812EF" w:rsidP="008812EF">
    <w:pPr>
      <w:pStyle w:val="Cabealho"/>
      <w:jc w:val="center"/>
      <w:rPr>
        <w:rFonts w:ascii="Arial" w:hAnsi="Arial" w:cs="Arial"/>
        <w:b/>
        <w:sz w:val="28"/>
        <w:szCs w:val="28"/>
      </w:rPr>
    </w:pPr>
    <w:r w:rsidRPr="00106D84">
      <w:rPr>
        <w:rFonts w:ascii="Arial" w:hAnsi="Arial" w:cs="Arial"/>
        <w:b/>
        <w:sz w:val="28"/>
        <w:szCs w:val="28"/>
      </w:rPr>
      <w:t>Quadro Comparativo</w:t>
    </w:r>
  </w:p>
  <w:p w14:paraId="3E23E0AA" w14:textId="77777777" w:rsidR="008812EF" w:rsidRPr="00320A90" w:rsidRDefault="008812EF" w:rsidP="008812EF">
    <w:pPr>
      <w:pStyle w:val="Cabealho"/>
      <w:jc w:val="center"/>
      <w:rPr>
        <w:rFonts w:ascii="Arial" w:hAnsi="Arial" w:cs="Arial"/>
        <w:b/>
      </w:rPr>
    </w:pPr>
    <w:r w:rsidRPr="00320A90">
      <w:rPr>
        <w:rFonts w:ascii="Arial" w:hAnsi="Arial" w:cs="Arial"/>
        <w:b/>
      </w:rPr>
      <w:t>PLANO DE BENEFÍCIOS</w:t>
    </w:r>
    <w:r>
      <w:rPr>
        <w:rFonts w:ascii="Arial" w:hAnsi="Arial" w:cs="Arial"/>
        <w:b/>
      </w:rPr>
      <w:t xml:space="preserve"> DE CONTRIBUIÇÃO DEFINIDA </w:t>
    </w:r>
  </w:p>
  <w:p w14:paraId="016EAA89" w14:textId="77777777" w:rsidR="008812EF" w:rsidRPr="00320A90" w:rsidRDefault="008812EF" w:rsidP="008812EF">
    <w:pPr>
      <w:pStyle w:val="Cabealho"/>
      <w:jc w:val="center"/>
    </w:pPr>
    <w:r w:rsidRPr="00320A90">
      <w:rPr>
        <w:rFonts w:ascii="Arial" w:hAnsi="Arial" w:cs="Arial"/>
        <w:b/>
      </w:rPr>
      <w:t xml:space="preserve">CNPB </w:t>
    </w:r>
    <w:r w:rsidRPr="008812EF">
      <w:rPr>
        <w:rFonts w:ascii="Arial" w:hAnsi="Arial" w:cs="Arial"/>
        <w:b/>
      </w:rPr>
      <w:t>1996.0041-74</w:t>
    </w:r>
  </w:p>
  <w:p w14:paraId="2A7C5299" w14:textId="77777777" w:rsidR="003D16B2" w:rsidRDefault="003D16B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58086" w14:textId="1D3CFDE4" w:rsidR="003D16B2" w:rsidRDefault="003D16B2" w:rsidP="00106D84">
    <w:pPr>
      <w:pStyle w:val="Cabealho"/>
      <w:jc w:val="center"/>
      <w:rPr>
        <w:rFonts w:ascii="Arial" w:hAnsi="Arial" w:cs="Arial"/>
        <w:b/>
        <w:sz w:val="28"/>
        <w:szCs w:val="28"/>
      </w:rPr>
    </w:pPr>
    <w:r w:rsidRPr="00106D84">
      <w:rPr>
        <w:rFonts w:ascii="Arial" w:hAnsi="Arial" w:cs="Arial"/>
        <w:b/>
        <w:sz w:val="28"/>
        <w:szCs w:val="28"/>
      </w:rPr>
      <w:t>Quadro Comparativo</w:t>
    </w:r>
  </w:p>
  <w:p w14:paraId="6B82E88C" w14:textId="5ABCC9C2" w:rsidR="003D16B2" w:rsidRPr="00320A90" w:rsidRDefault="003D16B2" w:rsidP="00320A90">
    <w:pPr>
      <w:pStyle w:val="Cabealho"/>
      <w:jc w:val="center"/>
      <w:rPr>
        <w:rFonts w:ascii="Arial" w:hAnsi="Arial" w:cs="Arial"/>
        <w:b/>
      </w:rPr>
    </w:pPr>
    <w:r w:rsidRPr="00320A90">
      <w:rPr>
        <w:rFonts w:ascii="Arial" w:hAnsi="Arial" w:cs="Arial"/>
        <w:b/>
      </w:rPr>
      <w:t>PLANO DE BENEFÍCIOS</w:t>
    </w:r>
    <w:r w:rsidR="008812EF">
      <w:rPr>
        <w:rFonts w:ascii="Arial" w:hAnsi="Arial" w:cs="Arial"/>
        <w:b/>
      </w:rPr>
      <w:t xml:space="preserve"> DE CONTRIBUIÇÃO DEFINIDA </w:t>
    </w:r>
  </w:p>
  <w:p w14:paraId="21ABA86D" w14:textId="53092A78" w:rsidR="003D16B2" w:rsidRPr="00320A90" w:rsidRDefault="003D16B2" w:rsidP="00320A90">
    <w:pPr>
      <w:pStyle w:val="Cabealho"/>
      <w:jc w:val="center"/>
    </w:pPr>
    <w:r w:rsidRPr="00320A90">
      <w:rPr>
        <w:rFonts w:ascii="Arial" w:hAnsi="Arial" w:cs="Arial"/>
        <w:b/>
      </w:rPr>
      <w:t xml:space="preserve">CNPB </w:t>
    </w:r>
    <w:r w:rsidR="008812EF" w:rsidRPr="008812EF">
      <w:rPr>
        <w:rFonts w:ascii="Arial" w:hAnsi="Arial" w:cs="Arial"/>
        <w:b/>
      </w:rPr>
      <w:t>1996.0041-74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70654"/>
    <w:multiLevelType w:val="hybridMultilevel"/>
    <w:tmpl w:val="A4BA000A"/>
    <w:lvl w:ilvl="0" w:tplc="91F25664">
      <w:start w:val="1"/>
      <w:numFmt w:val="lowerLetter"/>
      <w:lvlText w:val="%1."/>
      <w:lvlJc w:val="left"/>
      <w:pPr>
        <w:ind w:left="574" w:hanging="360"/>
      </w:pPr>
      <w:rPr>
        <w:rFonts w:hint="default"/>
      </w:rPr>
    </w:lvl>
    <w:lvl w:ilvl="1" w:tplc="04160019" w:tentative="1">
      <w:start w:val="1"/>
      <w:numFmt w:val="lowerLetter"/>
      <w:lvlText w:val="%2."/>
      <w:lvlJc w:val="left"/>
      <w:pPr>
        <w:ind w:left="1294" w:hanging="360"/>
      </w:pPr>
    </w:lvl>
    <w:lvl w:ilvl="2" w:tplc="0416001B" w:tentative="1">
      <w:start w:val="1"/>
      <w:numFmt w:val="lowerRoman"/>
      <w:lvlText w:val="%3."/>
      <w:lvlJc w:val="right"/>
      <w:pPr>
        <w:ind w:left="2014" w:hanging="180"/>
      </w:pPr>
    </w:lvl>
    <w:lvl w:ilvl="3" w:tplc="0416000F" w:tentative="1">
      <w:start w:val="1"/>
      <w:numFmt w:val="decimal"/>
      <w:lvlText w:val="%4."/>
      <w:lvlJc w:val="left"/>
      <w:pPr>
        <w:ind w:left="2734" w:hanging="360"/>
      </w:pPr>
    </w:lvl>
    <w:lvl w:ilvl="4" w:tplc="04160019" w:tentative="1">
      <w:start w:val="1"/>
      <w:numFmt w:val="lowerLetter"/>
      <w:lvlText w:val="%5."/>
      <w:lvlJc w:val="left"/>
      <w:pPr>
        <w:ind w:left="3454" w:hanging="360"/>
      </w:pPr>
    </w:lvl>
    <w:lvl w:ilvl="5" w:tplc="0416001B" w:tentative="1">
      <w:start w:val="1"/>
      <w:numFmt w:val="lowerRoman"/>
      <w:lvlText w:val="%6."/>
      <w:lvlJc w:val="right"/>
      <w:pPr>
        <w:ind w:left="4174" w:hanging="180"/>
      </w:pPr>
    </w:lvl>
    <w:lvl w:ilvl="6" w:tplc="0416000F" w:tentative="1">
      <w:start w:val="1"/>
      <w:numFmt w:val="decimal"/>
      <w:lvlText w:val="%7."/>
      <w:lvlJc w:val="left"/>
      <w:pPr>
        <w:ind w:left="4894" w:hanging="360"/>
      </w:pPr>
    </w:lvl>
    <w:lvl w:ilvl="7" w:tplc="04160019" w:tentative="1">
      <w:start w:val="1"/>
      <w:numFmt w:val="lowerLetter"/>
      <w:lvlText w:val="%8."/>
      <w:lvlJc w:val="left"/>
      <w:pPr>
        <w:ind w:left="5614" w:hanging="360"/>
      </w:pPr>
    </w:lvl>
    <w:lvl w:ilvl="8" w:tplc="0416001B" w:tentative="1">
      <w:start w:val="1"/>
      <w:numFmt w:val="lowerRoman"/>
      <w:lvlText w:val="%9."/>
      <w:lvlJc w:val="right"/>
      <w:pPr>
        <w:ind w:left="6334" w:hanging="180"/>
      </w:pPr>
    </w:lvl>
  </w:abstractNum>
  <w:abstractNum w:abstractNumId="1" w15:restartNumberingAfterBreak="0">
    <w:nsid w:val="1D3A02C4"/>
    <w:multiLevelType w:val="multilevel"/>
    <w:tmpl w:val="B12C91FE"/>
    <w:lvl w:ilvl="0">
      <w:start w:val="10"/>
      <w:numFmt w:val="upperRoman"/>
      <w:lvlText w:val="%1"/>
      <w:lvlJc w:val="left"/>
      <w:pPr>
        <w:ind w:left="141" w:hanging="417"/>
      </w:pPr>
      <w:rPr>
        <w:rFonts w:hint="default"/>
        <w:lang w:val="pt-PT" w:eastAsia="pt-PT" w:bidi="pt-PT"/>
      </w:rPr>
    </w:lvl>
    <w:lvl w:ilvl="1">
      <w:start w:val="1"/>
      <w:numFmt w:val="decimal"/>
      <w:lvlText w:val="%1.%2"/>
      <w:lvlJc w:val="left"/>
      <w:pPr>
        <w:ind w:left="141" w:hanging="417"/>
      </w:pPr>
      <w:rPr>
        <w:rFonts w:ascii="Arial" w:eastAsia="Times New Roman" w:hAnsi="Arial" w:cs="Arial" w:hint="default"/>
        <w:color w:val="231F20"/>
        <w:spacing w:val="-1"/>
        <w:w w:val="100"/>
        <w:sz w:val="24"/>
        <w:szCs w:val="24"/>
        <w:lang w:val="pt-PT" w:eastAsia="pt-PT" w:bidi="pt-PT"/>
      </w:rPr>
    </w:lvl>
    <w:lvl w:ilvl="2">
      <w:start w:val="1"/>
      <w:numFmt w:val="decimal"/>
      <w:lvlText w:val="%1.%2.%3"/>
      <w:lvlJc w:val="left"/>
      <w:pPr>
        <w:ind w:left="772" w:hanging="712"/>
      </w:pPr>
      <w:rPr>
        <w:rFonts w:ascii="Arial" w:eastAsia="Times New Roman" w:hAnsi="Arial" w:cs="Arial" w:hint="default"/>
        <w:color w:val="231F20"/>
        <w:spacing w:val="-3"/>
        <w:w w:val="100"/>
        <w:sz w:val="24"/>
        <w:szCs w:val="24"/>
        <w:lang w:val="pt-PT" w:eastAsia="pt-PT" w:bidi="pt-PT"/>
      </w:rPr>
    </w:lvl>
    <w:lvl w:ilvl="3">
      <w:numFmt w:val="bullet"/>
      <w:lvlText w:val="•"/>
      <w:lvlJc w:val="left"/>
      <w:pPr>
        <w:ind w:left="2620" w:hanging="712"/>
      </w:pPr>
      <w:rPr>
        <w:rFonts w:hint="default"/>
        <w:lang w:val="pt-PT" w:eastAsia="pt-PT" w:bidi="pt-PT"/>
      </w:rPr>
    </w:lvl>
    <w:lvl w:ilvl="4">
      <w:numFmt w:val="bullet"/>
      <w:lvlText w:val="•"/>
      <w:lvlJc w:val="left"/>
      <w:pPr>
        <w:ind w:left="3541" w:hanging="712"/>
      </w:pPr>
      <w:rPr>
        <w:rFonts w:hint="default"/>
        <w:lang w:val="pt-PT" w:eastAsia="pt-PT" w:bidi="pt-PT"/>
      </w:rPr>
    </w:lvl>
    <w:lvl w:ilvl="5">
      <w:numFmt w:val="bullet"/>
      <w:lvlText w:val="•"/>
      <w:lvlJc w:val="left"/>
      <w:pPr>
        <w:ind w:left="4461" w:hanging="712"/>
      </w:pPr>
      <w:rPr>
        <w:rFonts w:hint="default"/>
        <w:lang w:val="pt-PT" w:eastAsia="pt-PT" w:bidi="pt-PT"/>
      </w:rPr>
    </w:lvl>
    <w:lvl w:ilvl="6">
      <w:numFmt w:val="bullet"/>
      <w:lvlText w:val="•"/>
      <w:lvlJc w:val="left"/>
      <w:pPr>
        <w:ind w:left="5382" w:hanging="712"/>
      </w:pPr>
      <w:rPr>
        <w:rFonts w:hint="default"/>
        <w:lang w:val="pt-PT" w:eastAsia="pt-PT" w:bidi="pt-PT"/>
      </w:rPr>
    </w:lvl>
    <w:lvl w:ilvl="7">
      <w:numFmt w:val="bullet"/>
      <w:lvlText w:val="•"/>
      <w:lvlJc w:val="left"/>
      <w:pPr>
        <w:ind w:left="6302" w:hanging="712"/>
      </w:pPr>
      <w:rPr>
        <w:rFonts w:hint="default"/>
        <w:lang w:val="pt-PT" w:eastAsia="pt-PT" w:bidi="pt-PT"/>
      </w:rPr>
    </w:lvl>
    <w:lvl w:ilvl="8">
      <w:numFmt w:val="bullet"/>
      <w:lvlText w:val="•"/>
      <w:lvlJc w:val="left"/>
      <w:pPr>
        <w:ind w:left="7223" w:hanging="712"/>
      </w:pPr>
      <w:rPr>
        <w:rFonts w:hint="default"/>
        <w:lang w:val="pt-PT" w:eastAsia="pt-PT" w:bidi="pt-PT"/>
      </w:rPr>
    </w:lvl>
  </w:abstractNum>
  <w:abstractNum w:abstractNumId="2" w15:restartNumberingAfterBreak="0">
    <w:nsid w:val="1FC57D7C"/>
    <w:multiLevelType w:val="multilevel"/>
    <w:tmpl w:val="A22E4764"/>
    <w:lvl w:ilvl="0">
      <w:start w:val="6"/>
      <w:numFmt w:val="upperRoman"/>
      <w:lvlText w:val="%1"/>
      <w:lvlJc w:val="left"/>
      <w:pPr>
        <w:ind w:left="740" w:hanging="600"/>
      </w:pPr>
      <w:rPr>
        <w:rFonts w:hint="default"/>
        <w:lang w:val="pt-PT" w:eastAsia="pt-PT" w:bidi="pt-PT"/>
      </w:rPr>
    </w:lvl>
    <w:lvl w:ilvl="1">
      <w:start w:val="1"/>
      <w:numFmt w:val="decimal"/>
      <w:lvlText w:val="%1.%2."/>
      <w:lvlJc w:val="left"/>
      <w:pPr>
        <w:ind w:left="740" w:hanging="600"/>
      </w:pPr>
      <w:rPr>
        <w:rFonts w:ascii="Arial" w:eastAsia="Times New Roman" w:hAnsi="Arial" w:cs="Arial" w:hint="default"/>
        <w:color w:val="231F20"/>
        <w:spacing w:val="-8"/>
        <w:w w:val="100"/>
        <w:sz w:val="24"/>
        <w:szCs w:val="24"/>
        <w:lang w:val="pt-PT" w:eastAsia="pt-PT" w:bidi="pt-PT"/>
      </w:rPr>
    </w:lvl>
    <w:lvl w:ilvl="2">
      <w:start w:val="1"/>
      <w:numFmt w:val="lowerLetter"/>
      <w:lvlText w:val="%3)"/>
      <w:lvlJc w:val="left"/>
      <w:pPr>
        <w:ind w:left="1808" w:hanging="341"/>
      </w:pPr>
      <w:rPr>
        <w:rFonts w:ascii="Times New Roman" w:eastAsia="Times New Roman" w:hAnsi="Times New Roman" w:cs="Times New Roman" w:hint="default"/>
        <w:color w:val="231F20"/>
        <w:spacing w:val="-25"/>
        <w:w w:val="100"/>
        <w:sz w:val="24"/>
        <w:szCs w:val="24"/>
        <w:lang w:val="pt-PT" w:eastAsia="pt-PT" w:bidi="pt-PT"/>
      </w:rPr>
    </w:lvl>
    <w:lvl w:ilvl="3">
      <w:numFmt w:val="bullet"/>
      <w:lvlText w:val="•"/>
      <w:lvlJc w:val="left"/>
      <w:pPr>
        <w:ind w:left="3414" w:hanging="341"/>
      </w:pPr>
      <w:rPr>
        <w:rFonts w:hint="default"/>
        <w:lang w:val="pt-PT" w:eastAsia="pt-PT" w:bidi="pt-PT"/>
      </w:rPr>
    </w:lvl>
    <w:lvl w:ilvl="4">
      <w:numFmt w:val="bullet"/>
      <w:lvlText w:val="•"/>
      <w:lvlJc w:val="left"/>
      <w:pPr>
        <w:ind w:left="4221" w:hanging="341"/>
      </w:pPr>
      <w:rPr>
        <w:rFonts w:hint="default"/>
        <w:lang w:val="pt-PT" w:eastAsia="pt-PT" w:bidi="pt-PT"/>
      </w:rPr>
    </w:lvl>
    <w:lvl w:ilvl="5">
      <w:numFmt w:val="bullet"/>
      <w:lvlText w:val="•"/>
      <w:lvlJc w:val="left"/>
      <w:pPr>
        <w:ind w:left="5028" w:hanging="341"/>
      </w:pPr>
      <w:rPr>
        <w:rFonts w:hint="default"/>
        <w:lang w:val="pt-PT" w:eastAsia="pt-PT" w:bidi="pt-PT"/>
      </w:rPr>
    </w:lvl>
    <w:lvl w:ilvl="6">
      <w:numFmt w:val="bullet"/>
      <w:lvlText w:val="•"/>
      <w:lvlJc w:val="left"/>
      <w:pPr>
        <w:ind w:left="5835" w:hanging="341"/>
      </w:pPr>
      <w:rPr>
        <w:rFonts w:hint="default"/>
        <w:lang w:val="pt-PT" w:eastAsia="pt-PT" w:bidi="pt-PT"/>
      </w:rPr>
    </w:lvl>
    <w:lvl w:ilvl="7">
      <w:numFmt w:val="bullet"/>
      <w:lvlText w:val="•"/>
      <w:lvlJc w:val="left"/>
      <w:pPr>
        <w:ind w:left="6642" w:hanging="341"/>
      </w:pPr>
      <w:rPr>
        <w:rFonts w:hint="default"/>
        <w:lang w:val="pt-PT" w:eastAsia="pt-PT" w:bidi="pt-PT"/>
      </w:rPr>
    </w:lvl>
    <w:lvl w:ilvl="8">
      <w:numFmt w:val="bullet"/>
      <w:lvlText w:val="•"/>
      <w:lvlJc w:val="left"/>
      <w:pPr>
        <w:ind w:left="7450" w:hanging="341"/>
      </w:pPr>
      <w:rPr>
        <w:rFonts w:hint="default"/>
        <w:lang w:val="pt-PT" w:eastAsia="pt-PT" w:bidi="pt-PT"/>
      </w:rPr>
    </w:lvl>
  </w:abstractNum>
  <w:abstractNum w:abstractNumId="3" w15:restartNumberingAfterBreak="0">
    <w:nsid w:val="2DB942F4"/>
    <w:multiLevelType w:val="multilevel"/>
    <w:tmpl w:val="AED4A838"/>
    <w:lvl w:ilvl="0">
      <w:start w:val="4"/>
      <w:numFmt w:val="upperRoman"/>
      <w:lvlText w:val="%1"/>
      <w:lvlJc w:val="left"/>
      <w:pPr>
        <w:ind w:left="764" w:hanging="624"/>
      </w:pPr>
      <w:rPr>
        <w:rFonts w:hint="default"/>
        <w:lang w:val="pt-PT" w:eastAsia="pt-PT" w:bidi="pt-PT"/>
      </w:rPr>
    </w:lvl>
    <w:lvl w:ilvl="1">
      <w:start w:val="1"/>
      <w:numFmt w:val="decimal"/>
      <w:lvlText w:val="%1.%2."/>
      <w:lvlJc w:val="left"/>
      <w:pPr>
        <w:ind w:left="764" w:hanging="624"/>
      </w:pPr>
      <w:rPr>
        <w:rFonts w:ascii="Arial" w:eastAsia="Times New Roman" w:hAnsi="Arial" w:cs="Arial" w:hint="default"/>
        <w:color w:val="231F20"/>
        <w:spacing w:val="-6"/>
        <w:w w:val="100"/>
        <w:sz w:val="24"/>
        <w:szCs w:val="24"/>
        <w:lang w:val="pt-PT" w:eastAsia="pt-PT" w:bidi="pt-PT"/>
      </w:rPr>
    </w:lvl>
    <w:lvl w:ilvl="2">
      <w:start w:val="1"/>
      <w:numFmt w:val="lowerLetter"/>
      <w:lvlText w:val="(%3)"/>
      <w:lvlJc w:val="left"/>
      <w:pPr>
        <w:ind w:left="1155" w:hanging="392"/>
      </w:pPr>
      <w:rPr>
        <w:rFonts w:ascii="Arial" w:eastAsia="Times New Roman" w:hAnsi="Arial" w:cs="Arial" w:hint="default"/>
        <w:color w:val="231F20"/>
        <w:spacing w:val="-4"/>
        <w:w w:val="100"/>
        <w:sz w:val="24"/>
        <w:szCs w:val="24"/>
        <w:lang w:val="pt-PT" w:eastAsia="pt-PT" w:bidi="pt-PT"/>
      </w:rPr>
    </w:lvl>
    <w:lvl w:ilvl="3">
      <w:numFmt w:val="bullet"/>
      <w:lvlText w:val="•"/>
      <w:lvlJc w:val="left"/>
      <w:pPr>
        <w:ind w:left="2916" w:hanging="392"/>
      </w:pPr>
      <w:rPr>
        <w:rFonts w:hint="default"/>
        <w:lang w:val="pt-PT" w:eastAsia="pt-PT" w:bidi="pt-PT"/>
      </w:rPr>
    </w:lvl>
    <w:lvl w:ilvl="4">
      <w:numFmt w:val="bullet"/>
      <w:lvlText w:val="•"/>
      <w:lvlJc w:val="left"/>
      <w:pPr>
        <w:ind w:left="3794" w:hanging="392"/>
      </w:pPr>
      <w:rPr>
        <w:rFonts w:hint="default"/>
        <w:lang w:val="pt-PT" w:eastAsia="pt-PT" w:bidi="pt-PT"/>
      </w:rPr>
    </w:lvl>
    <w:lvl w:ilvl="5">
      <w:numFmt w:val="bullet"/>
      <w:lvlText w:val="•"/>
      <w:lvlJc w:val="left"/>
      <w:pPr>
        <w:ind w:left="4673" w:hanging="392"/>
      </w:pPr>
      <w:rPr>
        <w:rFonts w:hint="default"/>
        <w:lang w:val="pt-PT" w:eastAsia="pt-PT" w:bidi="pt-PT"/>
      </w:rPr>
    </w:lvl>
    <w:lvl w:ilvl="6">
      <w:numFmt w:val="bullet"/>
      <w:lvlText w:val="•"/>
      <w:lvlJc w:val="left"/>
      <w:pPr>
        <w:ind w:left="5551" w:hanging="392"/>
      </w:pPr>
      <w:rPr>
        <w:rFonts w:hint="default"/>
        <w:lang w:val="pt-PT" w:eastAsia="pt-PT" w:bidi="pt-PT"/>
      </w:rPr>
    </w:lvl>
    <w:lvl w:ilvl="7">
      <w:numFmt w:val="bullet"/>
      <w:lvlText w:val="•"/>
      <w:lvlJc w:val="left"/>
      <w:pPr>
        <w:ind w:left="6429" w:hanging="392"/>
      </w:pPr>
      <w:rPr>
        <w:rFonts w:hint="default"/>
        <w:lang w:val="pt-PT" w:eastAsia="pt-PT" w:bidi="pt-PT"/>
      </w:rPr>
    </w:lvl>
    <w:lvl w:ilvl="8">
      <w:numFmt w:val="bullet"/>
      <w:lvlText w:val="•"/>
      <w:lvlJc w:val="left"/>
      <w:pPr>
        <w:ind w:left="7307" w:hanging="392"/>
      </w:pPr>
      <w:rPr>
        <w:rFonts w:hint="default"/>
        <w:lang w:val="pt-PT" w:eastAsia="pt-PT" w:bidi="pt-PT"/>
      </w:rPr>
    </w:lvl>
  </w:abstractNum>
  <w:abstractNum w:abstractNumId="4" w15:restartNumberingAfterBreak="0">
    <w:nsid w:val="33370B03"/>
    <w:multiLevelType w:val="hybridMultilevel"/>
    <w:tmpl w:val="84CE6D2A"/>
    <w:lvl w:ilvl="0" w:tplc="FD766184">
      <w:start w:val="1"/>
      <w:numFmt w:val="lowerLetter"/>
      <w:lvlText w:val="%1)"/>
      <w:lvlJc w:val="left"/>
      <w:pPr>
        <w:ind w:left="574" w:hanging="360"/>
      </w:pPr>
      <w:rPr>
        <w:rFonts w:hint="default"/>
        <w:u w:val="single"/>
      </w:rPr>
    </w:lvl>
    <w:lvl w:ilvl="1" w:tplc="04160019" w:tentative="1">
      <w:start w:val="1"/>
      <w:numFmt w:val="lowerLetter"/>
      <w:lvlText w:val="%2."/>
      <w:lvlJc w:val="left"/>
      <w:pPr>
        <w:ind w:left="1294" w:hanging="360"/>
      </w:pPr>
    </w:lvl>
    <w:lvl w:ilvl="2" w:tplc="0416001B" w:tentative="1">
      <w:start w:val="1"/>
      <w:numFmt w:val="lowerRoman"/>
      <w:lvlText w:val="%3."/>
      <w:lvlJc w:val="right"/>
      <w:pPr>
        <w:ind w:left="2014" w:hanging="180"/>
      </w:pPr>
    </w:lvl>
    <w:lvl w:ilvl="3" w:tplc="0416000F" w:tentative="1">
      <w:start w:val="1"/>
      <w:numFmt w:val="decimal"/>
      <w:lvlText w:val="%4."/>
      <w:lvlJc w:val="left"/>
      <w:pPr>
        <w:ind w:left="2734" w:hanging="360"/>
      </w:pPr>
    </w:lvl>
    <w:lvl w:ilvl="4" w:tplc="04160019" w:tentative="1">
      <w:start w:val="1"/>
      <w:numFmt w:val="lowerLetter"/>
      <w:lvlText w:val="%5."/>
      <w:lvlJc w:val="left"/>
      <w:pPr>
        <w:ind w:left="3454" w:hanging="360"/>
      </w:pPr>
    </w:lvl>
    <w:lvl w:ilvl="5" w:tplc="0416001B" w:tentative="1">
      <w:start w:val="1"/>
      <w:numFmt w:val="lowerRoman"/>
      <w:lvlText w:val="%6."/>
      <w:lvlJc w:val="right"/>
      <w:pPr>
        <w:ind w:left="4174" w:hanging="180"/>
      </w:pPr>
    </w:lvl>
    <w:lvl w:ilvl="6" w:tplc="0416000F" w:tentative="1">
      <w:start w:val="1"/>
      <w:numFmt w:val="decimal"/>
      <w:lvlText w:val="%7."/>
      <w:lvlJc w:val="left"/>
      <w:pPr>
        <w:ind w:left="4894" w:hanging="360"/>
      </w:pPr>
    </w:lvl>
    <w:lvl w:ilvl="7" w:tplc="04160019" w:tentative="1">
      <w:start w:val="1"/>
      <w:numFmt w:val="lowerLetter"/>
      <w:lvlText w:val="%8."/>
      <w:lvlJc w:val="left"/>
      <w:pPr>
        <w:ind w:left="5614" w:hanging="360"/>
      </w:pPr>
    </w:lvl>
    <w:lvl w:ilvl="8" w:tplc="0416001B" w:tentative="1">
      <w:start w:val="1"/>
      <w:numFmt w:val="lowerRoman"/>
      <w:lvlText w:val="%9."/>
      <w:lvlJc w:val="right"/>
      <w:pPr>
        <w:ind w:left="6334" w:hanging="180"/>
      </w:pPr>
    </w:lvl>
  </w:abstractNum>
  <w:abstractNum w:abstractNumId="5" w15:restartNumberingAfterBreak="0">
    <w:nsid w:val="50051445"/>
    <w:multiLevelType w:val="hybridMultilevel"/>
    <w:tmpl w:val="EDF44D24"/>
    <w:lvl w:ilvl="0" w:tplc="AEA69B76">
      <w:start w:val="1"/>
      <w:numFmt w:val="lowerLetter"/>
      <w:lvlText w:val="%1)"/>
      <w:lvlJc w:val="left"/>
      <w:pPr>
        <w:ind w:left="1808" w:hanging="341"/>
      </w:pPr>
      <w:rPr>
        <w:rFonts w:ascii="Arial" w:eastAsia="Times New Roman" w:hAnsi="Arial" w:cs="Arial"/>
        <w:color w:val="231F20"/>
        <w:spacing w:val="-2"/>
        <w:w w:val="100"/>
        <w:sz w:val="24"/>
        <w:szCs w:val="24"/>
        <w:lang w:val="pt-PT" w:eastAsia="pt-PT" w:bidi="pt-PT"/>
      </w:rPr>
    </w:lvl>
    <w:lvl w:ilvl="1" w:tplc="1D6E8592">
      <w:numFmt w:val="bullet"/>
      <w:lvlText w:val="•"/>
      <w:lvlJc w:val="left"/>
      <w:pPr>
        <w:ind w:left="2526" w:hanging="341"/>
      </w:pPr>
      <w:rPr>
        <w:rFonts w:hint="default"/>
        <w:lang w:val="pt-PT" w:eastAsia="pt-PT" w:bidi="pt-PT"/>
      </w:rPr>
    </w:lvl>
    <w:lvl w:ilvl="2" w:tplc="9438AF4A">
      <w:numFmt w:val="bullet"/>
      <w:lvlText w:val="•"/>
      <w:lvlJc w:val="left"/>
      <w:pPr>
        <w:ind w:left="3252" w:hanging="341"/>
      </w:pPr>
      <w:rPr>
        <w:rFonts w:hint="default"/>
        <w:lang w:val="pt-PT" w:eastAsia="pt-PT" w:bidi="pt-PT"/>
      </w:rPr>
    </w:lvl>
    <w:lvl w:ilvl="3" w:tplc="5B00A4AE">
      <w:numFmt w:val="bullet"/>
      <w:lvlText w:val="•"/>
      <w:lvlJc w:val="left"/>
      <w:pPr>
        <w:ind w:left="3979" w:hanging="341"/>
      </w:pPr>
      <w:rPr>
        <w:rFonts w:hint="default"/>
        <w:lang w:val="pt-PT" w:eastAsia="pt-PT" w:bidi="pt-PT"/>
      </w:rPr>
    </w:lvl>
    <w:lvl w:ilvl="4" w:tplc="5568ECE6">
      <w:numFmt w:val="bullet"/>
      <w:lvlText w:val="•"/>
      <w:lvlJc w:val="left"/>
      <w:pPr>
        <w:ind w:left="4705" w:hanging="341"/>
      </w:pPr>
      <w:rPr>
        <w:rFonts w:hint="default"/>
        <w:lang w:val="pt-PT" w:eastAsia="pt-PT" w:bidi="pt-PT"/>
      </w:rPr>
    </w:lvl>
    <w:lvl w:ilvl="5" w:tplc="E062C33C">
      <w:numFmt w:val="bullet"/>
      <w:lvlText w:val="•"/>
      <w:lvlJc w:val="left"/>
      <w:pPr>
        <w:ind w:left="5432" w:hanging="341"/>
      </w:pPr>
      <w:rPr>
        <w:rFonts w:hint="default"/>
        <w:lang w:val="pt-PT" w:eastAsia="pt-PT" w:bidi="pt-PT"/>
      </w:rPr>
    </w:lvl>
    <w:lvl w:ilvl="6" w:tplc="54D4B18A">
      <w:numFmt w:val="bullet"/>
      <w:lvlText w:val="•"/>
      <w:lvlJc w:val="left"/>
      <w:pPr>
        <w:ind w:left="6158" w:hanging="341"/>
      </w:pPr>
      <w:rPr>
        <w:rFonts w:hint="default"/>
        <w:lang w:val="pt-PT" w:eastAsia="pt-PT" w:bidi="pt-PT"/>
      </w:rPr>
    </w:lvl>
    <w:lvl w:ilvl="7" w:tplc="751E66DE">
      <w:numFmt w:val="bullet"/>
      <w:lvlText w:val="•"/>
      <w:lvlJc w:val="left"/>
      <w:pPr>
        <w:ind w:left="6885" w:hanging="341"/>
      </w:pPr>
      <w:rPr>
        <w:rFonts w:hint="default"/>
        <w:lang w:val="pt-PT" w:eastAsia="pt-PT" w:bidi="pt-PT"/>
      </w:rPr>
    </w:lvl>
    <w:lvl w:ilvl="8" w:tplc="B606A346">
      <w:numFmt w:val="bullet"/>
      <w:lvlText w:val="•"/>
      <w:lvlJc w:val="left"/>
      <w:pPr>
        <w:ind w:left="7611" w:hanging="341"/>
      </w:pPr>
      <w:rPr>
        <w:rFonts w:hint="default"/>
        <w:lang w:val="pt-PT" w:eastAsia="pt-PT" w:bidi="pt-PT"/>
      </w:rPr>
    </w:lvl>
  </w:abstractNum>
  <w:abstractNum w:abstractNumId="6" w15:restartNumberingAfterBreak="0">
    <w:nsid w:val="52666638"/>
    <w:multiLevelType w:val="hybridMultilevel"/>
    <w:tmpl w:val="882EC3C6"/>
    <w:lvl w:ilvl="0" w:tplc="59A80BCA">
      <w:start w:val="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D84"/>
    <w:rsid w:val="00000EE2"/>
    <w:rsid w:val="00001A7B"/>
    <w:rsid w:val="00001CAA"/>
    <w:rsid w:val="0000522C"/>
    <w:rsid w:val="00005B17"/>
    <w:rsid w:val="00005EF5"/>
    <w:rsid w:val="000129B5"/>
    <w:rsid w:val="000200F7"/>
    <w:rsid w:val="00024221"/>
    <w:rsid w:val="00024A98"/>
    <w:rsid w:val="00025181"/>
    <w:rsid w:val="00027B1C"/>
    <w:rsid w:val="00034C86"/>
    <w:rsid w:val="00034F01"/>
    <w:rsid w:val="000374BB"/>
    <w:rsid w:val="00040EB6"/>
    <w:rsid w:val="00053A8B"/>
    <w:rsid w:val="00053E53"/>
    <w:rsid w:val="0005726C"/>
    <w:rsid w:val="00062CFF"/>
    <w:rsid w:val="0006779A"/>
    <w:rsid w:val="0007046F"/>
    <w:rsid w:val="00070BB6"/>
    <w:rsid w:val="00075D8F"/>
    <w:rsid w:val="000846EF"/>
    <w:rsid w:val="0008549E"/>
    <w:rsid w:val="00091166"/>
    <w:rsid w:val="00092A53"/>
    <w:rsid w:val="000930AB"/>
    <w:rsid w:val="00097C0A"/>
    <w:rsid w:val="000A143E"/>
    <w:rsid w:val="000A2736"/>
    <w:rsid w:val="000A36A2"/>
    <w:rsid w:val="000A53C0"/>
    <w:rsid w:val="000A5E8E"/>
    <w:rsid w:val="000A73A3"/>
    <w:rsid w:val="000B5A31"/>
    <w:rsid w:val="000C12C0"/>
    <w:rsid w:val="000C71ED"/>
    <w:rsid w:val="000C7748"/>
    <w:rsid w:val="000D7214"/>
    <w:rsid w:val="000D77EE"/>
    <w:rsid w:val="000E50D7"/>
    <w:rsid w:val="000F2E11"/>
    <w:rsid w:val="00105569"/>
    <w:rsid w:val="00106D84"/>
    <w:rsid w:val="00107175"/>
    <w:rsid w:val="00107598"/>
    <w:rsid w:val="001268AA"/>
    <w:rsid w:val="00130BDF"/>
    <w:rsid w:val="00135FA0"/>
    <w:rsid w:val="001378DE"/>
    <w:rsid w:val="00140CC6"/>
    <w:rsid w:val="00141DEE"/>
    <w:rsid w:val="0014489E"/>
    <w:rsid w:val="00151C6B"/>
    <w:rsid w:val="001606B9"/>
    <w:rsid w:val="00172A6F"/>
    <w:rsid w:val="00173FB1"/>
    <w:rsid w:val="00174AF2"/>
    <w:rsid w:val="00176641"/>
    <w:rsid w:val="00176CE5"/>
    <w:rsid w:val="00186522"/>
    <w:rsid w:val="0019191E"/>
    <w:rsid w:val="00192FA6"/>
    <w:rsid w:val="00193C18"/>
    <w:rsid w:val="00194A1F"/>
    <w:rsid w:val="001B676D"/>
    <w:rsid w:val="001C07DF"/>
    <w:rsid w:val="001C0A2E"/>
    <w:rsid w:val="001D5AB6"/>
    <w:rsid w:val="001E335A"/>
    <w:rsid w:val="001E5ABC"/>
    <w:rsid w:val="001E6428"/>
    <w:rsid w:val="001E66FE"/>
    <w:rsid w:val="001E7785"/>
    <w:rsid w:val="001F5C13"/>
    <w:rsid w:val="001F634A"/>
    <w:rsid w:val="001F7B4A"/>
    <w:rsid w:val="002005CB"/>
    <w:rsid w:val="002025B5"/>
    <w:rsid w:val="00213476"/>
    <w:rsid w:val="00216575"/>
    <w:rsid w:val="00217ACA"/>
    <w:rsid w:val="00221606"/>
    <w:rsid w:val="002234F2"/>
    <w:rsid w:val="002251F3"/>
    <w:rsid w:val="00232977"/>
    <w:rsid w:val="002336E8"/>
    <w:rsid w:val="00233BAF"/>
    <w:rsid w:val="00240113"/>
    <w:rsid w:val="00240666"/>
    <w:rsid w:val="00243322"/>
    <w:rsid w:val="00244066"/>
    <w:rsid w:val="002679D7"/>
    <w:rsid w:val="002744ED"/>
    <w:rsid w:val="00285C72"/>
    <w:rsid w:val="0028664F"/>
    <w:rsid w:val="00286AC2"/>
    <w:rsid w:val="002A0912"/>
    <w:rsid w:val="002A53BA"/>
    <w:rsid w:val="002B6262"/>
    <w:rsid w:val="002B7D99"/>
    <w:rsid w:val="002C6833"/>
    <w:rsid w:val="002D21DA"/>
    <w:rsid w:val="002D2FFD"/>
    <w:rsid w:val="002D45D8"/>
    <w:rsid w:val="002E3DFF"/>
    <w:rsid w:val="002E6060"/>
    <w:rsid w:val="002F0798"/>
    <w:rsid w:val="002F0989"/>
    <w:rsid w:val="002F177A"/>
    <w:rsid w:val="002F237E"/>
    <w:rsid w:val="002F6ED2"/>
    <w:rsid w:val="002F7D35"/>
    <w:rsid w:val="00301AA3"/>
    <w:rsid w:val="0030554E"/>
    <w:rsid w:val="003139BE"/>
    <w:rsid w:val="00320004"/>
    <w:rsid w:val="00320A90"/>
    <w:rsid w:val="003219B8"/>
    <w:rsid w:val="00321D48"/>
    <w:rsid w:val="00321E2B"/>
    <w:rsid w:val="00322A9D"/>
    <w:rsid w:val="003314E7"/>
    <w:rsid w:val="003374AC"/>
    <w:rsid w:val="00340250"/>
    <w:rsid w:val="0034072D"/>
    <w:rsid w:val="003410B1"/>
    <w:rsid w:val="00344A85"/>
    <w:rsid w:val="00344C33"/>
    <w:rsid w:val="00346055"/>
    <w:rsid w:val="0035644D"/>
    <w:rsid w:val="00361681"/>
    <w:rsid w:val="003634CC"/>
    <w:rsid w:val="00365732"/>
    <w:rsid w:val="00375552"/>
    <w:rsid w:val="00384EA1"/>
    <w:rsid w:val="00385A2B"/>
    <w:rsid w:val="00386C5B"/>
    <w:rsid w:val="003878AD"/>
    <w:rsid w:val="003903A3"/>
    <w:rsid w:val="00393362"/>
    <w:rsid w:val="00393542"/>
    <w:rsid w:val="00393D6D"/>
    <w:rsid w:val="003962BF"/>
    <w:rsid w:val="00396F6C"/>
    <w:rsid w:val="00397462"/>
    <w:rsid w:val="003A4355"/>
    <w:rsid w:val="003A5736"/>
    <w:rsid w:val="003B0AAD"/>
    <w:rsid w:val="003B2EB5"/>
    <w:rsid w:val="003B4D98"/>
    <w:rsid w:val="003B6290"/>
    <w:rsid w:val="003B65DE"/>
    <w:rsid w:val="003B6B47"/>
    <w:rsid w:val="003B7390"/>
    <w:rsid w:val="003C0D00"/>
    <w:rsid w:val="003C12BC"/>
    <w:rsid w:val="003C27EC"/>
    <w:rsid w:val="003C752E"/>
    <w:rsid w:val="003D0E3E"/>
    <w:rsid w:val="003D16B2"/>
    <w:rsid w:val="003D4432"/>
    <w:rsid w:val="003E2A6B"/>
    <w:rsid w:val="003E314A"/>
    <w:rsid w:val="003E6015"/>
    <w:rsid w:val="003F2FEE"/>
    <w:rsid w:val="003F499D"/>
    <w:rsid w:val="003F79C6"/>
    <w:rsid w:val="00421899"/>
    <w:rsid w:val="00432F70"/>
    <w:rsid w:val="0043729F"/>
    <w:rsid w:val="00437E54"/>
    <w:rsid w:val="00445AD9"/>
    <w:rsid w:val="00447FF2"/>
    <w:rsid w:val="00450452"/>
    <w:rsid w:val="00454550"/>
    <w:rsid w:val="00463D16"/>
    <w:rsid w:val="00464C00"/>
    <w:rsid w:val="00464DE0"/>
    <w:rsid w:val="00467282"/>
    <w:rsid w:val="004674B0"/>
    <w:rsid w:val="00474203"/>
    <w:rsid w:val="00474F94"/>
    <w:rsid w:val="00484874"/>
    <w:rsid w:val="0048647E"/>
    <w:rsid w:val="0049712C"/>
    <w:rsid w:val="00497D64"/>
    <w:rsid w:val="004A0806"/>
    <w:rsid w:val="004A09F2"/>
    <w:rsid w:val="004A1362"/>
    <w:rsid w:val="004A1D3D"/>
    <w:rsid w:val="004A2781"/>
    <w:rsid w:val="004A62FF"/>
    <w:rsid w:val="004B65FF"/>
    <w:rsid w:val="004B7983"/>
    <w:rsid w:val="004C158D"/>
    <w:rsid w:val="004C1A29"/>
    <w:rsid w:val="004C2571"/>
    <w:rsid w:val="004C55DF"/>
    <w:rsid w:val="004C6BF0"/>
    <w:rsid w:val="004D186F"/>
    <w:rsid w:val="004D698A"/>
    <w:rsid w:val="004F12F5"/>
    <w:rsid w:val="004F5C40"/>
    <w:rsid w:val="0050690B"/>
    <w:rsid w:val="00511519"/>
    <w:rsid w:val="005216C7"/>
    <w:rsid w:val="00526AE7"/>
    <w:rsid w:val="005338E5"/>
    <w:rsid w:val="0053516E"/>
    <w:rsid w:val="00535DB2"/>
    <w:rsid w:val="00535F56"/>
    <w:rsid w:val="005414F7"/>
    <w:rsid w:val="005433D9"/>
    <w:rsid w:val="0054483E"/>
    <w:rsid w:val="00545F94"/>
    <w:rsid w:val="005544FB"/>
    <w:rsid w:val="0055624C"/>
    <w:rsid w:val="00560062"/>
    <w:rsid w:val="00560539"/>
    <w:rsid w:val="00561E03"/>
    <w:rsid w:val="00567A50"/>
    <w:rsid w:val="00572DA1"/>
    <w:rsid w:val="005744EB"/>
    <w:rsid w:val="00574E53"/>
    <w:rsid w:val="00576DD0"/>
    <w:rsid w:val="005823F6"/>
    <w:rsid w:val="00583B5F"/>
    <w:rsid w:val="00585B3A"/>
    <w:rsid w:val="00591F7A"/>
    <w:rsid w:val="005A26DB"/>
    <w:rsid w:val="005B1A08"/>
    <w:rsid w:val="005B6171"/>
    <w:rsid w:val="005B7C52"/>
    <w:rsid w:val="005C488F"/>
    <w:rsid w:val="005D0AB2"/>
    <w:rsid w:val="005D78BE"/>
    <w:rsid w:val="005E0717"/>
    <w:rsid w:val="005E4871"/>
    <w:rsid w:val="005E7CCF"/>
    <w:rsid w:val="005F37CA"/>
    <w:rsid w:val="005F575A"/>
    <w:rsid w:val="00602ED3"/>
    <w:rsid w:val="00603D59"/>
    <w:rsid w:val="00607281"/>
    <w:rsid w:val="00610D7F"/>
    <w:rsid w:val="00620D73"/>
    <w:rsid w:val="00630B23"/>
    <w:rsid w:val="006330B5"/>
    <w:rsid w:val="00635783"/>
    <w:rsid w:val="006365F4"/>
    <w:rsid w:val="00637539"/>
    <w:rsid w:val="00637B0C"/>
    <w:rsid w:val="00637CA7"/>
    <w:rsid w:val="00641CDC"/>
    <w:rsid w:val="00663201"/>
    <w:rsid w:val="00663824"/>
    <w:rsid w:val="006677BD"/>
    <w:rsid w:val="00670202"/>
    <w:rsid w:val="00672BB0"/>
    <w:rsid w:val="006743E3"/>
    <w:rsid w:val="00680E77"/>
    <w:rsid w:val="00684868"/>
    <w:rsid w:val="0068768F"/>
    <w:rsid w:val="006957C3"/>
    <w:rsid w:val="006A03BE"/>
    <w:rsid w:val="006A04DB"/>
    <w:rsid w:val="006A2A6D"/>
    <w:rsid w:val="006A415B"/>
    <w:rsid w:val="006A7134"/>
    <w:rsid w:val="006B12E2"/>
    <w:rsid w:val="006B3931"/>
    <w:rsid w:val="006B6E1C"/>
    <w:rsid w:val="006C17A5"/>
    <w:rsid w:val="006C20BF"/>
    <w:rsid w:val="006C2716"/>
    <w:rsid w:val="006C518E"/>
    <w:rsid w:val="006C6163"/>
    <w:rsid w:val="006C7DCD"/>
    <w:rsid w:val="006D06AD"/>
    <w:rsid w:val="006D1DA1"/>
    <w:rsid w:val="006D2D0C"/>
    <w:rsid w:val="006D3DF5"/>
    <w:rsid w:val="006D554E"/>
    <w:rsid w:val="006D7200"/>
    <w:rsid w:val="006E41A2"/>
    <w:rsid w:val="006E61EE"/>
    <w:rsid w:val="006E7B6A"/>
    <w:rsid w:val="006F0907"/>
    <w:rsid w:val="006F36B5"/>
    <w:rsid w:val="006F5450"/>
    <w:rsid w:val="00715EE7"/>
    <w:rsid w:val="00720711"/>
    <w:rsid w:val="007211CA"/>
    <w:rsid w:val="007235F8"/>
    <w:rsid w:val="00724550"/>
    <w:rsid w:val="00724ED4"/>
    <w:rsid w:val="007314B5"/>
    <w:rsid w:val="00733A45"/>
    <w:rsid w:val="00734A0C"/>
    <w:rsid w:val="0073552F"/>
    <w:rsid w:val="00737AF7"/>
    <w:rsid w:val="007415AF"/>
    <w:rsid w:val="00745EB1"/>
    <w:rsid w:val="00747D22"/>
    <w:rsid w:val="00751B64"/>
    <w:rsid w:val="007531D6"/>
    <w:rsid w:val="00753AFD"/>
    <w:rsid w:val="00754128"/>
    <w:rsid w:val="00757A10"/>
    <w:rsid w:val="00761031"/>
    <w:rsid w:val="00761D42"/>
    <w:rsid w:val="007646AB"/>
    <w:rsid w:val="007709DF"/>
    <w:rsid w:val="00772472"/>
    <w:rsid w:val="0077320A"/>
    <w:rsid w:val="00775201"/>
    <w:rsid w:val="007758DE"/>
    <w:rsid w:val="00782CBB"/>
    <w:rsid w:val="007872D2"/>
    <w:rsid w:val="007878BF"/>
    <w:rsid w:val="00793356"/>
    <w:rsid w:val="007951D7"/>
    <w:rsid w:val="007A0864"/>
    <w:rsid w:val="007A2ED0"/>
    <w:rsid w:val="007B3AE7"/>
    <w:rsid w:val="007B5FC8"/>
    <w:rsid w:val="007B6946"/>
    <w:rsid w:val="007B6EAB"/>
    <w:rsid w:val="007C250F"/>
    <w:rsid w:val="007C3729"/>
    <w:rsid w:val="007D0C98"/>
    <w:rsid w:val="007D7938"/>
    <w:rsid w:val="007D7CE2"/>
    <w:rsid w:val="007E0BB4"/>
    <w:rsid w:val="007E29C9"/>
    <w:rsid w:val="007E7699"/>
    <w:rsid w:val="007E795B"/>
    <w:rsid w:val="007F75F6"/>
    <w:rsid w:val="008006B5"/>
    <w:rsid w:val="00807A2E"/>
    <w:rsid w:val="00807D3E"/>
    <w:rsid w:val="00816AAE"/>
    <w:rsid w:val="0082395B"/>
    <w:rsid w:val="00823C78"/>
    <w:rsid w:val="00836AF7"/>
    <w:rsid w:val="00840030"/>
    <w:rsid w:val="0084407C"/>
    <w:rsid w:val="00847086"/>
    <w:rsid w:val="008538DE"/>
    <w:rsid w:val="00857FDC"/>
    <w:rsid w:val="00863509"/>
    <w:rsid w:val="00875257"/>
    <w:rsid w:val="0087754F"/>
    <w:rsid w:val="008812EF"/>
    <w:rsid w:val="008922E9"/>
    <w:rsid w:val="00896048"/>
    <w:rsid w:val="008A4442"/>
    <w:rsid w:val="008A75BB"/>
    <w:rsid w:val="008A7D36"/>
    <w:rsid w:val="008B02AF"/>
    <w:rsid w:val="008B1AE1"/>
    <w:rsid w:val="008B1F96"/>
    <w:rsid w:val="008B31DA"/>
    <w:rsid w:val="008B7167"/>
    <w:rsid w:val="008C1073"/>
    <w:rsid w:val="008C7A56"/>
    <w:rsid w:val="008D1B6E"/>
    <w:rsid w:val="008D2868"/>
    <w:rsid w:val="008E173A"/>
    <w:rsid w:val="008E19FC"/>
    <w:rsid w:val="008E6F0B"/>
    <w:rsid w:val="008F21D7"/>
    <w:rsid w:val="008F5165"/>
    <w:rsid w:val="008F640E"/>
    <w:rsid w:val="008F764A"/>
    <w:rsid w:val="009023A1"/>
    <w:rsid w:val="00910A19"/>
    <w:rsid w:val="00911DE0"/>
    <w:rsid w:val="00914D36"/>
    <w:rsid w:val="00922638"/>
    <w:rsid w:val="00922AB3"/>
    <w:rsid w:val="009347A1"/>
    <w:rsid w:val="009400A8"/>
    <w:rsid w:val="009447D2"/>
    <w:rsid w:val="00945F84"/>
    <w:rsid w:val="00946253"/>
    <w:rsid w:val="00947E2C"/>
    <w:rsid w:val="0095102C"/>
    <w:rsid w:val="009546EB"/>
    <w:rsid w:val="00965E94"/>
    <w:rsid w:val="00970ADE"/>
    <w:rsid w:val="009723E1"/>
    <w:rsid w:val="009847E5"/>
    <w:rsid w:val="00985B4F"/>
    <w:rsid w:val="00985C04"/>
    <w:rsid w:val="00987408"/>
    <w:rsid w:val="009905D4"/>
    <w:rsid w:val="0099167F"/>
    <w:rsid w:val="009929DA"/>
    <w:rsid w:val="00997E4E"/>
    <w:rsid w:val="00997F97"/>
    <w:rsid w:val="009B0E7C"/>
    <w:rsid w:val="009C1BD9"/>
    <w:rsid w:val="009C3AC4"/>
    <w:rsid w:val="009D3368"/>
    <w:rsid w:val="009D5E36"/>
    <w:rsid w:val="009F0E87"/>
    <w:rsid w:val="009F24B9"/>
    <w:rsid w:val="009F26BF"/>
    <w:rsid w:val="009F328C"/>
    <w:rsid w:val="009F586B"/>
    <w:rsid w:val="009F677C"/>
    <w:rsid w:val="00A00624"/>
    <w:rsid w:val="00A02C52"/>
    <w:rsid w:val="00A02D8F"/>
    <w:rsid w:val="00A06CA8"/>
    <w:rsid w:val="00A120F5"/>
    <w:rsid w:val="00A12342"/>
    <w:rsid w:val="00A12765"/>
    <w:rsid w:val="00A3196A"/>
    <w:rsid w:val="00A36E3B"/>
    <w:rsid w:val="00A42FBE"/>
    <w:rsid w:val="00A456D6"/>
    <w:rsid w:val="00A46344"/>
    <w:rsid w:val="00A50660"/>
    <w:rsid w:val="00A55575"/>
    <w:rsid w:val="00A6062C"/>
    <w:rsid w:val="00A6255F"/>
    <w:rsid w:val="00A6313C"/>
    <w:rsid w:val="00A63988"/>
    <w:rsid w:val="00A66CDF"/>
    <w:rsid w:val="00A67BAD"/>
    <w:rsid w:val="00A67C66"/>
    <w:rsid w:val="00A80D53"/>
    <w:rsid w:val="00A822C4"/>
    <w:rsid w:val="00A82846"/>
    <w:rsid w:val="00A84A56"/>
    <w:rsid w:val="00A9582F"/>
    <w:rsid w:val="00A96AE8"/>
    <w:rsid w:val="00A97169"/>
    <w:rsid w:val="00AA2715"/>
    <w:rsid w:val="00AA38A1"/>
    <w:rsid w:val="00AA6920"/>
    <w:rsid w:val="00AA7547"/>
    <w:rsid w:val="00AB1D40"/>
    <w:rsid w:val="00AB3658"/>
    <w:rsid w:val="00AC1296"/>
    <w:rsid w:val="00AC31D0"/>
    <w:rsid w:val="00AC4F4C"/>
    <w:rsid w:val="00AC7A84"/>
    <w:rsid w:val="00AD79E9"/>
    <w:rsid w:val="00AE4A2D"/>
    <w:rsid w:val="00AE79B0"/>
    <w:rsid w:val="00AF04AC"/>
    <w:rsid w:val="00B04794"/>
    <w:rsid w:val="00B0558B"/>
    <w:rsid w:val="00B10F82"/>
    <w:rsid w:val="00B11D13"/>
    <w:rsid w:val="00B124FE"/>
    <w:rsid w:val="00B16651"/>
    <w:rsid w:val="00B33833"/>
    <w:rsid w:val="00B348F7"/>
    <w:rsid w:val="00B35D6A"/>
    <w:rsid w:val="00B43A4E"/>
    <w:rsid w:val="00B47855"/>
    <w:rsid w:val="00B52437"/>
    <w:rsid w:val="00B53DB3"/>
    <w:rsid w:val="00B55F4F"/>
    <w:rsid w:val="00B5733C"/>
    <w:rsid w:val="00B609D6"/>
    <w:rsid w:val="00B62214"/>
    <w:rsid w:val="00B62612"/>
    <w:rsid w:val="00B62666"/>
    <w:rsid w:val="00B62FE7"/>
    <w:rsid w:val="00B651C6"/>
    <w:rsid w:val="00B66644"/>
    <w:rsid w:val="00B67CDB"/>
    <w:rsid w:val="00B807C2"/>
    <w:rsid w:val="00B85284"/>
    <w:rsid w:val="00B863EA"/>
    <w:rsid w:val="00B8797F"/>
    <w:rsid w:val="00B97446"/>
    <w:rsid w:val="00BB0839"/>
    <w:rsid w:val="00BB4528"/>
    <w:rsid w:val="00BC0AAA"/>
    <w:rsid w:val="00BC1285"/>
    <w:rsid w:val="00BC1E14"/>
    <w:rsid w:val="00BC6E03"/>
    <w:rsid w:val="00BD1FF0"/>
    <w:rsid w:val="00BD26CA"/>
    <w:rsid w:val="00BD5287"/>
    <w:rsid w:val="00BD55A5"/>
    <w:rsid w:val="00BD58BF"/>
    <w:rsid w:val="00BD5C64"/>
    <w:rsid w:val="00BE0744"/>
    <w:rsid w:val="00BE1CF8"/>
    <w:rsid w:val="00BE21BC"/>
    <w:rsid w:val="00BF3F2E"/>
    <w:rsid w:val="00C04672"/>
    <w:rsid w:val="00C04FAE"/>
    <w:rsid w:val="00C077FC"/>
    <w:rsid w:val="00C10F93"/>
    <w:rsid w:val="00C13455"/>
    <w:rsid w:val="00C14CF8"/>
    <w:rsid w:val="00C22E1B"/>
    <w:rsid w:val="00C34A79"/>
    <w:rsid w:val="00C403E0"/>
    <w:rsid w:val="00C55168"/>
    <w:rsid w:val="00C56BA4"/>
    <w:rsid w:val="00C60AF7"/>
    <w:rsid w:val="00C61A62"/>
    <w:rsid w:val="00C67982"/>
    <w:rsid w:val="00C70D6F"/>
    <w:rsid w:val="00C762F6"/>
    <w:rsid w:val="00C81B8D"/>
    <w:rsid w:val="00C84466"/>
    <w:rsid w:val="00C87DEF"/>
    <w:rsid w:val="00C95060"/>
    <w:rsid w:val="00CA003D"/>
    <w:rsid w:val="00CC0FB7"/>
    <w:rsid w:val="00CD44CA"/>
    <w:rsid w:val="00CD70F8"/>
    <w:rsid w:val="00CE08C3"/>
    <w:rsid w:val="00CE0F59"/>
    <w:rsid w:val="00CE17A4"/>
    <w:rsid w:val="00CE6F0B"/>
    <w:rsid w:val="00CF18A4"/>
    <w:rsid w:val="00CF1AB0"/>
    <w:rsid w:val="00CF25F7"/>
    <w:rsid w:val="00CF4C59"/>
    <w:rsid w:val="00CF63AC"/>
    <w:rsid w:val="00CF717B"/>
    <w:rsid w:val="00CF79FF"/>
    <w:rsid w:val="00D02704"/>
    <w:rsid w:val="00D05D68"/>
    <w:rsid w:val="00D0659D"/>
    <w:rsid w:val="00D15FCB"/>
    <w:rsid w:val="00D17952"/>
    <w:rsid w:val="00D17FE0"/>
    <w:rsid w:val="00D203EF"/>
    <w:rsid w:val="00D21F65"/>
    <w:rsid w:val="00D242E9"/>
    <w:rsid w:val="00D25C9A"/>
    <w:rsid w:val="00D2615E"/>
    <w:rsid w:val="00D3299D"/>
    <w:rsid w:val="00D35689"/>
    <w:rsid w:val="00D35C62"/>
    <w:rsid w:val="00D37FF3"/>
    <w:rsid w:val="00D416BE"/>
    <w:rsid w:val="00D41B8A"/>
    <w:rsid w:val="00D44ED4"/>
    <w:rsid w:val="00D50A1E"/>
    <w:rsid w:val="00D512A3"/>
    <w:rsid w:val="00D53066"/>
    <w:rsid w:val="00D54E88"/>
    <w:rsid w:val="00D5748E"/>
    <w:rsid w:val="00D57B59"/>
    <w:rsid w:val="00D60E02"/>
    <w:rsid w:val="00D61084"/>
    <w:rsid w:val="00D62167"/>
    <w:rsid w:val="00D64CD7"/>
    <w:rsid w:val="00D678CF"/>
    <w:rsid w:val="00D731AB"/>
    <w:rsid w:val="00D745BF"/>
    <w:rsid w:val="00D80921"/>
    <w:rsid w:val="00D857D1"/>
    <w:rsid w:val="00D85B9C"/>
    <w:rsid w:val="00D87023"/>
    <w:rsid w:val="00D90CED"/>
    <w:rsid w:val="00D91301"/>
    <w:rsid w:val="00D9322E"/>
    <w:rsid w:val="00D96172"/>
    <w:rsid w:val="00DA13E0"/>
    <w:rsid w:val="00DA3AC3"/>
    <w:rsid w:val="00DA415F"/>
    <w:rsid w:val="00DA5CD9"/>
    <w:rsid w:val="00DA600E"/>
    <w:rsid w:val="00DA6F85"/>
    <w:rsid w:val="00DB006F"/>
    <w:rsid w:val="00DB08F0"/>
    <w:rsid w:val="00DB20DB"/>
    <w:rsid w:val="00DB2A27"/>
    <w:rsid w:val="00DB34E1"/>
    <w:rsid w:val="00DB3D16"/>
    <w:rsid w:val="00DB6F90"/>
    <w:rsid w:val="00DD1753"/>
    <w:rsid w:val="00DD5FD5"/>
    <w:rsid w:val="00DD730A"/>
    <w:rsid w:val="00DE73B5"/>
    <w:rsid w:val="00DF5211"/>
    <w:rsid w:val="00DF6718"/>
    <w:rsid w:val="00DF7AAE"/>
    <w:rsid w:val="00DF7D20"/>
    <w:rsid w:val="00E06E73"/>
    <w:rsid w:val="00E17DBE"/>
    <w:rsid w:val="00E207ED"/>
    <w:rsid w:val="00E219D1"/>
    <w:rsid w:val="00E27A4C"/>
    <w:rsid w:val="00E27A5D"/>
    <w:rsid w:val="00E27F2E"/>
    <w:rsid w:val="00E32F52"/>
    <w:rsid w:val="00E35B8C"/>
    <w:rsid w:val="00E40834"/>
    <w:rsid w:val="00E43B3D"/>
    <w:rsid w:val="00E47B95"/>
    <w:rsid w:val="00E47CC7"/>
    <w:rsid w:val="00E53879"/>
    <w:rsid w:val="00E551C8"/>
    <w:rsid w:val="00E55451"/>
    <w:rsid w:val="00E556F7"/>
    <w:rsid w:val="00E5635F"/>
    <w:rsid w:val="00E617D8"/>
    <w:rsid w:val="00E63BE6"/>
    <w:rsid w:val="00E67947"/>
    <w:rsid w:val="00E7513F"/>
    <w:rsid w:val="00E7711F"/>
    <w:rsid w:val="00E7782B"/>
    <w:rsid w:val="00E805F7"/>
    <w:rsid w:val="00E80A78"/>
    <w:rsid w:val="00E83870"/>
    <w:rsid w:val="00E87090"/>
    <w:rsid w:val="00E90105"/>
    <w:rsid w:val="00E906F4"/>
    <w:rsid w:val="00E96E9D"/>
    <w:rsid w:val="00E979BA"/>
    <w:rsid w:val="00E97A75"/>
    <w:rsid w:val="00EA0053"/>
    <w:rsid w:val="00EA31C1"/>
    <w:rsid w:val="00EA5C19"/>
    <w:rsid w:val="00EA6318"/>
    <w:rsid w:val="00EB35A3"/>
    <w:rsid w:val="00EB4B5E"/>
    <w:rsid w:val="00EC44D8"/>
    <w:rsid w:val="00EC7CA3"/>
    <w:rsid w:val="00ED1DD8"/>
    <w:rsid w:val="00ED426F"/>
    <w:rsid w:val="00EE036D"/>
    <w:rsid w:val="00EE07E3"/>
    <w:rsid w:val="00EE2894"/>
    <w:rsid w:val="00EE3330"/>
    <w:rsid w:val="00EE4D78"/>
    <w:rsid w:val="00EF3CF9"/>
    <w:rsid w:val="00EF4C38"/>
    <w:rsid w:val="00EF731D"/>
    <w:rsid w:val="00EF75B0"/>
    <w:rsid w:val="00EF7B94"/>
    <w:rsid w:val="00F01356"/>
    <w:rsid w:val="00F11CF5"/>
    <w:rsid w:val="00F11F92"/>
    <w:rsid w:val="00F157B2"/>
    <w:rsid w:val="00F160DC"/>
    <w:rsid w:val="00F21707"/>
    <w:rsid w:val="00F241E0"/>
    <w:rsid w:val="00F3039D"/>
    <w:rsid w:val="00F35B52"/>
    <w:rsid w:val="00F35E78"/>
    <w:rsid w:val="00F36153"/>
    <w:rsid w:val="00F41DDA"/>
    <w:rsid w:val="00F427D4"/>
    <w:rsid w:val="00F460E8"/>
    <w:rsid w:val="00F462AD"/>
    <w:rsid w:val="00F466D4"/>
    <w:rsid w:val="00F46AF2"/>
    <w:rsid w:val="00F517E9"/>
    <w:rsid w:val="00F541D3"/>
    <w:rsid w:val="00F64981"/>
    <w:rsid w:val="00F677B3"/>
    <w:rsid w:val="00F67A35"/>
    <w:rsid w:val="00F70AAB"/>
    <w:rsid w:val="00F71CE4"/>
    <w:rsid w:val="00F73943"/>
    <w:rsid w:val="00F847E2"/>
    <w:rsid w:val="00FB097D"/>
    <w:rsid w:val="00FB1A03"/>
    <w:rsid w:val="00FB565C"/>
    <w:rsid w:val="00FB5D6A"/>
    <w:rsid w:val="00FB77AC"/>
    <w:rsid w:val="00FC075E"/>
    <w:rsid w:val="00FC1CE5"/>
    <w:rsid w:val="00FD13A1"/>
    <w:rsid w:val="00FD2615"/>
    <w:rsid w:val="00FD7919"/>
    <w:rsid w:val="00FE07C1"/>
    <w:rsid w:val="00FE2C15"/>
    <w:rsid w:val="00FF22AB"/>
    <w:rsid w:val="00FF3F0B"/>
    <w:rsid w:val="00FF523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000C236"/>
  <w15:docId w15:val="{F0E502F9-A536-4269-8718-C38586FB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5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06D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6D84"/>
  </w:style>
  <w:style w:type="paragraph" w:styleId="Rodap">
    <w:name w:val="footer"/>
    <w:basedOn w:val="Normal"/>
    <w:link w:val="RodapChar"/>
    <w:uiPriority w:val="99"/>
    <w:unhideWhenUsed/>
    <w:rsid w:val="00106D84"/>
    <w:pPr>
      <w:tabs>
        <w:tab w:val="center" w:pos="4252"/>
        <w:tab w:val="right" w:pos="8504"/>
      </w:tabs>
      <w:spacing w:after="0" w:line="240" w:lineRule="auto"/>
    </w:pPr>
  </w:style>
  <w:style w:type="character" w:customStyle="1" w:styleId="RodapChar">
    <w:name w:val="Rodapé Char"/>
    <w:basedOn w:val="Fontepargpadro"/>
    <w:link w:val="Rodap"/>
    <w:uiPriority w:val="99"/>
    <w:rsid w:val="00106D84"/>
  </w:style>
  <w:style w:type="character" w:styleId="Refdecomentrio">
    <w:name w:val="annotation reference"/>
    <w:basedOn w:val="Fontepargpadro"/>
    <w:uiPriority w:val="99"/>
    <w:semiHidden/>
    <w:unhideWhenUsed/>
    <w:rsid w:val="00945F84"/>
    <w:rPr>
      <w:sz w:val="16"/>
      <w:szCs w:val="16"/>
    </w:rPr>
  </w:style>
  <w:style w:type="paragraph" w:styleId="Textodecomentrio">
    <w:name w:val="annotation text"/>
    <w:basedOn w:val="Normal"/>
    <w:link w:val="TextodecomentrioChar"/>
    <w:uiPriority w:val="99"/>
    <w:semiHidden/>
    <w:unhideWhenUsed/>
    <w:rsid w:val="00945F8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45F84"/>
    <w:rPr>
      <w:sz w:val="20"/>
      <w:szCs w:val="20"/>
    </w:rPr>
  </w:style>
  <w:style w:type="paragraph" w:styleId="Assuntodocomentrio">
    <w:name w:val="annotation subject"/>
    <w:basedOn w:val="Textodecomentrio"/>
    <w:next w:val="Textodecomentrio"/>
    <w:link w:val="AssuntodocomentrioChar"/>
    <w:uiPriority w:val="99"/>
    <w:semiHidden/>
    <w:unhideWhenUsed/>
    <w:rsid w:val="00945F84"/>
    <w:rPr>
      <w:b/>
      <w:bCs/>
    </w:rPr>
  </w:style>
  <w:style w:type="character" w:customStyle="1" w:styleId="AssuntodocomentrioChar">
    <w:name w:val="Assunto do comentário Char"/>
    <w:basedOn w:val="TextodecomentrioChar"/>
    <w:link w:val="Assuntodocomentrio"/>
    <w:uiPriority w:val="99"/>
    <w:semiHidden/>
    <w:rsid w:val="00945F84"/>
    <w:rPr>
      <w:b/>
      <w:bCs/>
      <w:sz w:val="20"/>
      <w:szCs w:val="20"/>
    </w:rPr>
  </w:style>
  <w:style w:type="paragraph" w:styleId="Textodebalo">
    <w:name w:val="Balloon Text"/>
    <w:basedOn w:val="Normal"/>
    <w:link w:val="TextodebaloChar"/>
    <w:uiPriority w:val="99"/>
    <w:semiHidden/>
    <w:unhideWhenUsed/>
    <w:rsid w:val="00945F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45F84"/>
    <w:rPr>
      <w:rFonts w:ascii="Segoe UI" w:hAnsi="Segoe UI" w:cs="Segoe UI"/>
      <w:sz w:val="18"/>
      <w:szCs w:val="18"/>
    </w:rPr>
  </w:style>
  <w:style w:type="paragraph" w:styleId="PargrafodaLista">
    <w:name w:val="List Paragraph"/>
    <w:basedOn w:val="Normal"/>
    <w:uiPriority w:val="1"/>
    <w:qFormat/>
    <w:rsid w:val="00221606"/>
    <w:pPr>
      <w:ind w:left="720"/>
      <w:contextualSpacing/>
    </w:pPr>
  </w:style>
  <w:style w:type="paragraph" w:styleId="SemEspaamento">
    <w:name w:val="No Spacing"/>
    <w:uiPriority w:val="1"/>
    <w:qFormat/>
    <w:rsid w:val="00393D6D"/>
    <w:pPr>
      <w:spacing w:after="0" w:line="240" w:lineRule="auto"/>
    </w:pPr>
  </w:style>
  <w:style w:type="character" w:styleId="TextodoEspaoReservado">
    <w:name w:val="Placeholder Text"/>
    <w:basedOn w:val="Fontepargpadro"/>
    <w:uiPriority w:val="99"/>
    <w:semiHidden/>
    <w:rsid w:val="00793356"/>
    <w:rPr>
      <w:color w:val="808080"/>
    </w:rPr>
  </w:style>
  <w:style w:type="paragraph" w:styleId="Corpodetexto">
    <w:name w:val="Body Text"/>
    <w:basedOn w:val="Normal"/>
    <w:link w:val="CorpodetextoChar"/>
    <w:uiPriority w:val="1"/>
    <w:qFormat/>
    <w:rsid w:val="006957C3"/>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6957C3"/>
    <w:rPr>
      <w:rFonts w:ascii="Times New Roman" w:eastAsia="Times New Roman" w:hAnsi="Times New Roman" w:cs="Times New Roman"/>
      <w:sz w:val="24"/>
      <w:szCs w:val="24"/>
      <w:lang w:val="pt-PT" w:eastAsia="pt-PT" w:bidi="pt-PT"/>
    </w:rPr>
  </w:style>
  <w:style w:type="table" w:styleId="Tabelacomgrade">
    <w:name w:val="Table Grid"/>
    <w:basedOn w:val="Tabelanormal"/>
    <w:uiPriority w:val="59"/>
    <w:rsid w:val="00F46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058">
      <w:bodyDiv w:val="1"/>
      <w:marLeft w:val="0"/>
      <w:marRight w:val="0"/>
      <w:marTop w:val="0"/>
      <w:marBottom w:val="0"/>
      <w:divBdr>
        <w:top w:val="none" w:sz="0" w:space="0" w:color="auto"/>
        <w:left w:val="none" w:sz="0" w:space="0" w:color="auto"/>
        <w:bottom w:val="none" w:sz="0" w:space="0" w:color="auto"/>
        <w:right w:val="none" w:sz="0" w:space="0" w:color="auto"/>
      </w:divBdr>
    </w:div>
    <w:div w:id="15816820">
      <w:bodyDiv w:val="1"/>
      <w:marLeft w:val="0"/>
      <w:marRight w:val="0"/>
      <w:marTop w:val="0"/>
      <w:marBottom w:val="0"/>
      <w:divBdr>
        <w:top w:val="none" w:sz="0" w:space="0" w:color="auto"/>
        <w:left w:val="none" w:sz="0" w:space="0" w:color="auto"/>
        <w:bottom w:val="none" w:sz="0" w:space="0" w:color="auto"/>
        <w:right w:val="none" w:sz="0" w:space="0" w:color="auto"/>
      </w:divBdr>
    </w:div>
    <w:div w:id="36978269">
      <w:bodyDiv w:val="1"/>
      <w:marLeft w:val="0"/>
      <w:marRight w:val="0"/>
      <w:marTop w:val="0"/>
      <w:marBottom w:val="0"/>
      <w:divBdr>
        <w:top w:val="none" w:sz="0" w:space="0" w:color="auto"/>
        <w:left w:val="none" w:sz="0" w:space="0" w:color="auto"/>
        <w:bottom w:val="none" w:sz="0" w:space="0" w:color="auto"/>
        <w:right w:val="none" w:sz="0" w:space="0" w:color="auto"/>
      </w:divBdr>
    </w:div>
    <w:div w:id="43993557">
      <w:bodyDiv w:val="1"/>
      <w:marLeft w:val="0"/>
      <w:marRight w:val="0"/>
      <w:marTop w:val="0"/>
      <w:marBottom w:val="0"/>
      <w:divBdr>
        <w:top w:val="none" w:sz="0" w:space="0" w:color="auto"/>
        <w:left w:val="none" w:sz="0" w:space="0" w:color="auto"/>
        <w:bottom w:val="none" w:sz="0" w:space="0" w:color="auto"/>
        <w:right w:val="none" w:sz="0" w:space="0" w:color="auto"/>
      </w:divBdr>
    </w:div>
    <w:div w:id="46952954">
      <w:bodyDiv w:val="1"/>
      <w:marLeft w:val="0"/>
      <w:marRight w:val="0"/>
      <w:marTop w:val="0"/>
      <w:marBottom w:val="0"/>
      <w:divBdr>
        <w:top w:val="none" w:sz="0" w:space="0" w:color="auto"/>
        <w:left w:val="none" w:sz="0" w:space="0" w:color="auto"/>
        <w:bottom w:val="none" w:sz="0" w:space="0" w:color="auto"/>
        <w:right w:val="none" w:sz="0" w:space="0" w:color="auto"/>
      </w:divBdr>
    </w:div>
    <w:div w:id="68891128">
      <w:bodyDiv w:val="1"/>
      <w:marLeft w:val="0"/>
      <w:marRight w:val="0"/>
      <w:marTop w:val="0"/>
      <w:marBottom w:val="0"/>
      <w:divBdr>
        <w:top w:val="none" w:sz="0" w:space="0" w:color="auto"/>
        <w:left w:val="none" w:sz="0" w:space="0" w:color="auto"/>
        <w:bottom w:val="none" w:sz="0" w:space="0" w:color="auto"/>
        <w:right w:val="none" w:sz="0" w:space="0" w:color="auto"/>
      </w:divBdr>
    </w:div>
    <w:div w:id="84545770">
      <w:bodyDiv w:val="1"/>
      <w:marLeft w:val="0"/>
      <w:marRight w:val="0"/>
      <w:marTop w:val="0"/>
      <w:marBottom w:val="0"/>
      <w:divBdr>
        <w:top w:val="none" w:sz="0" w:space="0" w:color="auto"/>
        <w:left w:val="none" w:sz="0" w:space="0" w:color="auto"/>
        <w:bottom w:val="none" w:sz="0" w:space="0" w:color="auto"/>
        <w:right w:val="none" w:sz="0" w:space="0" w:color="auto"/>
      </w:divBdr>
    </w:div>
    <w:div w:id="111824412">
      <w:bodyDiv w:val="1"/>
      <w:marLeft w:val="0"/>
      <w:marRight w:val="0"/>
      <w:marTop w:val="0"/>
      <w:marBottom w:val="0"/>
      <w:divBdr>
        <w:top w:val="none" w:sz="0" w:space="0" w:color="auto"/>
        <w:left w:val="none" w:sz="0" w:space="0" w:color="auto"/>
        <w:bottom w:val="none" w:sz="0" w:space="0" w:color="auto"/>
        <w:right w:val="none" w:sz="0" w:space="0" w:color="auto"/>
      </w:divBdr>
    </w:div>
    <w:div w:id="126557902">
      <w:bodyDiv w:val="1"/>
      <w:marLeft w:val="0"/>
      <w:marRight w:val="0"/>
      <w:marTop w:val="0"/>
      <w:marBottom w:val="0"/>
      <w:divBdr>
        <w:top w:val="none" w:sz="0" w:space="0" w:color="auto"/>
        <w:left w:val="none" w:sz="0" w:space="0" w:color="auto"/>
        <w:bottom w:val="none" w:sz="0" w:space="0" w:color="auto"/>
        <w:right w:val="none" w:sz="0" w:space="0" w:color="auto"/>
      </w:divBdr>
    </w:div>
    <w:div w:id="221451287">
      <w:bodyDiv w:val="1"/>
      <w:marLeft w:val="0"/>
      <w:marRight w:val="0"/>
      <w:marTop w:val="0"/>
      <w:marBottom w:val="0"/>
      <w:divBdr>
        <w:top w:val="none" w:sz="0" w:space="0" w:color="auto"/>
        <w:left w:val="none" w:sz="0" w:space="0" w:color="auto"/>
        <w:bottom w:val="none" w:sz="0" w:space="0" w:color="auto"/>
        <w:right w:val="none" w:sz="0" w:space="0" w:color="auto"/>
      </w:divBdr>
    </w:div>
    <w:div w:id="225991263">
      <w:bodyDiv w:val="1"/>
      <w:marLeft w:val="0"/>
      <w:marRight w:val="0"/>
      <w:marTop w:val="0"/>
      <w:marBottom w:val="0"/>
      <w:divBdr>
        <w:top w:val="none" w:sz="0" w:space="0" w:color="auto"/>
        <w:left w:val="none" w:sz="0" w:space="0" w:color="auto"/>
        <w:bottom w:val="none" w:sz="0" w:space="0" w:color="auto"/>
        <w:right w:val="none" w:sz="0" w:space="0" w:color="auto"/>
      </w:divBdr>
    </w:div>
    <w:div w:id="254288799">
      <w:bodyDiv w:val="1"/>
      <w:marLeft w:val="0"/>
      <w:marRight w:val="0"/>
      <w:marTop w:val="0"/>
      <w:marBottom w:val="0"/>
      <w:divBdr>
        <w:top w:val="none" w:sz="0" w:space="0" w:color="auto"/>
        <w:left w:val="none" w:sz="0" w:space="0" w:color="auto"/>
        <w:bottom w:val="none" w:sz="0" w:space="0" w:color="auto"/>
        <w:right w:val="none" w:sz="0" w:space="0" w:color="auto"/>
      </w:divBdr>
    </w:div>
    <w:div w:id="261765524">
      <w:bodyDiv w:val="1"/>
      <w:marLeft w:val="0"/>
      <w:marRight w:val="0"/>
      <w:marTop w:val="0"/>
      <w:marBottom w:val="0"/>
      <w:divBdr>
        <w:top w:val="none" w:sz="0" w:space="0" w:color="auto"/>
        <w:left w:val="none" w:sz="0" w:space="0" w:color="auto"/>
        <w:bottom w:val="none" w:sz="0" w:space="0" w:color="auto"/>
        <w:right w:val="none" w:sz="0" w:space="0" w:color="auto"/>
      </w:divBdr>
    </w:div>
    <w:div w:id="291404760">
      <w:bodyDiv w:val="1"/>
      <w:marLeft w:val="0"/>
      <w:marRight w:val="0"/>
      <w:marTop w:val="0"/>
      <w:marBottom w:val="0"/>
      <w:divBdr>
        <w:top w:val="none" w:sz="0" w:space="0" w:color="auto"/>
        <w:left w:val="none" w:sz="0" w:space="0" w:color="auto"/>
        <w:bottom w:val="none" w:sz="0" w:space="0" w:color="auto"/>
        <w:right w:val="none" w:sz="0" w:space="0" w:color="auto"/>
      </w:divBdr>
    </w:div>
    <w:div w:id="379672317">
      <w:bodyDiv w:val="1"/>
      <w:marLeft w:val="0"/>
      <w:marRight w:val="0"/>
      <w:marTop w:val="0"/>
      <w:marBottom w:val="0"/>
      <w:divBdr>
        <w:top w:val="none" w:sz="0" w:space="0" w:color="auto"/>
        <w:left w:val="none" w:sz="0" w:space="0" w:color="auto"/>
        <w:bottom w:val="none" w:sz="0" w:space="0" w:color="auto"/>
        <w:right w:val="none" w:sz="0" w:space="0" w:color="auto"/>
      </w:divBdr>
    </w:div>
    <w:div w:id="416512800">
      <w:bodyDiv w:val="1"/>
      <w:marLeft w:val="0"/>
      <w:marRight w:val="0"/>
      <w:marTop w:val="0"/>
      <w:marBottom w:val="0"/>
      <w:divBdr>
        <w:top w:val="none" w:sz="0" w:space="0" w:color="auto"/>
        <w:left w:val="none" w:sz="0" w:space="0" w:color="auto"/>
        <w:bottom w:val="none" w:sz="0" w:space="0" w:color="auto"/>
        <w:right w:val="none" w:sz="0" w:space="0" w:color="auto"/>
      </w:divBdr>
    </w:div>
    <w:div w:id="475338367">
      <w:bodyDiv w:val="1"/>
      <w:marLeft w:val="0"/>
      <w:marRight w:val="0"/>
      <w:marTop w:val="0"/>
      <w:marBottom w:val="0"/>
      <w:divBdr>
        <w:top w:val="none" w:sz="0" w:space="0" w:color="auto"/>
        <w:left w:val="none" w:sz="0" w:space="0" w:color="auto"/>
        <w:bottom w:val="none" w:sz="0" w:space="0" w:color="auto"/>
        <w:right w:val="none" w:sz="0" w:space="0" w:color="auto"/>
      </w:divBdr>
    </w:div>
    <w:div w:id="657000248">
      <w:bodyDiv w:val="1"/>
      <w:marLeft w:val="0"/>
      <w:marRight w:val="0"/>
      <w:marTop w:val="0"/>
      <w:marBottom w:val="0"/>
      <w:divBdr>
        <w:top w:val="none" w:sz="0" w:space="0" w:color="auto"/>
        <w:left w:val="none" w:sz="0" w:space="0" w:color="auto"/>
        <w:bottom w:val="none" w:sz="0" w:space="0" w:color="auto"/>
        <w:right w:val="none" w:sz="0" w:space="0" w:color="auto"/>
      </w:divBdr>
    </w:div>
    <w:div w:id="681323994">
      <w:bodyDiv w:val="1"/>
      <w:marLeft w:val="0"/>
      <w:marRight w:val="0"/>
      <w:marTop w:val="0"/>
      <w:marBottom w:val="0"/>
      <w:divBdr>
        <w:top w:val="none" w:sz="0" w:space="0" w:color="auto"/>
        <w:left w:val="none" w:sz="0" w:space="0" w:color="auto"/>
        <w:bottom w:val="none" w:sz="0" w:space="0" w:color="auto"/>
        <w:right w:val="none" w:sz="0" w:space="0" w:color="auto"/>
      </w:divBdr>
    </w:div>
    <w:div w:id="776945665">
      <w:bodyDiv w:val="1"/>
      <w:marLeft w:val="0"/>
      <w:marRight w:val="0"/>
      <w:marTop w:val="0"/>
      <w:marBottom w:val="0"/>
      <w:divBdr>
        <w:top w:val="none" w:sz="0" w:space="0" w:color="auto"/>
        <w:left w:val="none" w:sz="0" w:space="0" w:color="auto"/>
        <w:bottom w:val="none" w:sz="0" w:space="0" w:color="auto"/>
        <w:right w:val="none" w:sz="0" w:space="0" w:color="auto"/>
      </w:divBdr>
    </w:div>
    <w:div w:id="821853905">
      <w:bodyDiv w:val="1"/>
      <w:marLeft w:val="0"/>
      <w:marRight w:val="0"/>
      <w:marTop w:val="0"/>
      <w:marBottom w:val="0"/>
      <w:divBdr>
        <w:top w:val="none" w:sz="0" w:space="0" w:color="auto"/>
        <w:left w:val="none" w:sz="0" w:space="0" w:color="auto"/>
        <w:bottom w:val="none" w:sz="0" w:space="0" w:color="auto"/>
        <w:right w:val="none" w:sz="0" w:space="0" w:color="auto"/>
      </w:divBdr>
    </w:div>
    <w:div w:id="971330599">
      <w:bodyDiv w:val="1"/>
      <w:marLeft w:val="0"/>
      <w:marRight w:val="0"/>
      <w:marTop w:val="0"/>
      <w:marBottom w:val="0"/>
      <w:divBdr>
        <w:top w:val="none" w:sz="0" w:space="0" w:color="auto"/>
        <w:left w:val="none" w:sz="0" w:space="0" w:color="auto"/>
        <w:bottom w:val="none" w:sz="0" w:space="0" w:color="auto"/>
        <w:right w:val="none" w:sz="0" w:space="0" w:color="auto"/>
      </w:divBdr>
    </w:div>
    <w:div w:id="1006444131">
      <w:bodyDiv w:val="1"/>
      <w:marLeft w:val="0"/>
      <w:marRight w:val="0"/>
      <w:marTop w:val="0"/>
      <w:marBottom w:val="0"/>
      <w:divBdr>
        <w:top w:val="none" w:sz="0" w:space="0" w:color="auto"/>
        <w:left w:val="none" w:sz="0" w:space="0" w:color="auto"/>
        <w:bottom w:val="none" w:sz="0" w:space="0" w:color="auto"/>
        <w:right w:val="none" w:sz="0" w:space="0" w:color="auto"/>
      </w:divBdr>
    </w:div>
    <w:div w:id="1015767069">
      <w:bodyDiv w:val="1"/>
      <w:marLeft w:val="0"/>
      <w:marRight w:val="0"/>
      <w:marTop w:val="0"/>
      <w:marBottom w:val="0"/>
      <w:divBdr>
        <w:top w:val="none" w:sz="0" w:space="0" w:color="auto"/>
        <w:left w:val="none" w:sz="0" w:space="0" w:color="auto"/>
        <w:bottom w:val="none" w:sz="0" w:space="0" w:color="auto"/>
        <w:right w:val="none" w:sz="0" w:space="0" w:color="auto"/>
      </w:divBdr>
    </w:div>
    <w:div w:id="1067460202">
      <w:bodyDiv w:val="1"/>
      <w:marLeft w:val="0"/>
      <w:marRight w:val="0"/>
      <w:marTop w:val="0"/>
      <w:marBottom w:val="0"/>
      <w:divBdr>
        <w:top w:val="none" w:sz="0" w:space="0" w:color="auto"/>
        <w:left w:val="none" w:sz="0" w:space="0" w:color="auto"/>
        <w:bottom w:val="none" w:sz="0" w:space="0" w:color="auto"/>
        <w:right w:val="none" w:sz="0" w:space="0" w:color="auto"/>
      </w:divBdr>
    </w:div>
    <w:div w:id="1088039243">
      <w:bodyDiv w:val="1"/>
      <w:marLeft w:val="0"/>
      <w:marRight w:val="0"/>
      <w:marTop w:val="0"/>
      <w:marBottom w:val="0"/>
      <w:divBdr>
        <w:top w:val="none" w:sz="0" w:space="0" w:color="auto"/>
        <w:left w:val="none" w:sz="0" w:space="0" w:color="auto"/>
        <w:bottom w:val="none" w:sz="0" w:space="0" w:color="auto"/>
        <w:right w:val="none" w:sz="0" w:space="0" w:color="auto"/>
      </w:divBdr>
    </w:div>
    <w:div w:id="1113134933">
      <w:bodyDiv w:val="1"/>
      <w:marLeft w:val="0"/>
      <w:marRight w:val="0"/>
      <w:marTop w:val="0"/>
      <w:marBottom w:val="0"/>
      <w:divBdr>
        <w:top w:val="none" w:sz="0" w:space="0" w:color="auto"/>
        <w:left w:val="none" w:sz="0" w:space="0" w:color="auto"/>
        <w:bottom w:val="none" w:sz="0" w:space="0" w:color="auto"/>
        <w:right w:val="none" w:sz="0" w:space="0" w:color="auto"/>
      </w:divBdr>
    </w:div>
    <w:div w:id="1124349153">
      <w:bodyDiv w:val="1"/>
      <w:marLeft w:val="0"/>
      <w:marRight w:val="0"/>
      <w:marTop w:val="0"/>
      <w:marBottom w:val="0"/>
      <w:divBdr>
        <w:top w:val="none" w:sz="0" w:space="0" w:color="auto"/>
        <w:left w:val="none" w:sz="0" w:space="0" w:color="auto"/>
        <w:bottom w:val="none" w:sz="0" w:space="0" w:color="auto"/>
        <w:right w:val="none" w:sz="0" w:space="0" w:color="auto"/>
      </w:divBdr>
    </w:div>
    <w:div w:id="1247963391">
      <w:bodyDiv w:val="1"/>
      <w:marLeft w:val="0"/>
      <w:marRight w:val="0"/>
      <w:marTop w:val="0"/>
      <w:marBottom w:val="0"/>
      <w:divBdr>
        <w:top w:val="none" w:sz="0" w:space="0" w:color="auto"/>
        <w:left w:val="none" w:sz="0" w:space="0" w:color="auto"/>
        <w:bottom w:val="none" w:sz="0" w:space="0" w:color="auto"/>
        <w:right w:val="none" w:sz="0" w:space="0" w:color="auto"/>
      </w:divBdr>
    </w:div>
    <w:div w:id="1309240772">
      <w:bodyDiv w:val="1"/>
      <w:marLeft w:val="0"/>
      <w:marRight w:val="0"/>
      <w:marTop w:val="0"/>
      <w:marBottom w:val="0"/>
      <w:divBdr>
        <w:top w:val="none" w:sz="0" w:space="0" w:color="auto"/>
        <w:left w:val="none" w:sz="0" w:space="0" w:color="auto"/>
        <w:bottom w:val="none" w:sz="0" w:space="0" w:color="auto"/>
        <w:right w:val="none" w:sz="0" w:space="0" w:color="auto"/>
      </w:divBdr>
    </w:div>
    <w:div w:id="1405761478">
      <w:bodyDiv w:val="1"/>
      <w:marLeft w:val="0"/>
      <w:marRight w:val="0"/>
      <w:marTop w:val="0"/>
      <w:marBottom w:val="0"/>
      <w:divBdr>
        <w:top w:val="none" w:sz="0" w:space="0" w:color="auto"/>
        <w:left w:val="none" w:sz="0" w:space="0" w:color="auto"/>
        <w:bottom w:val="none" w:sz="0" w:space="0" w:color="auto"/>
        <w:right w:val="none" w:sz="0" w:space="0" w:color="auto"/>
      </w:divBdr>
    </w:div>
    <w:div w:id="1453523514">
      <w:bodyDiv w:val="1"/>
      <w:marLeft w:val="0"/>
      <w:marRight w:val="0"/>
      <w:marTop w:val="0"/>
      <w:marBottom w:val="0"/>
      <w:divBdr>
        <w:top w:val="none" w:sz="0" w:space="0" w:color="auto"/>
        <w:left w:val="none" w:sz="0" w:space="0" w:color="auto"/>
        <w:bottom w:val="none" w:sz="0" w:space="0" w:color="auto"/>
        <w:right w:val="none" w:sz="0" w:space="0" w:color="auto"/>
      </w:divBdr>
    </w:div>
    <w:div w:id="1519392142">
      <w:bodyDiv w:val="1"/>
      <w:marLeft w:val="0"/>
      <w:marRight w:val="0"/>
      <w:marTop w:val="0"/>
      <w:marBottom w:val="0"/>
      <w:divBdr>
        <w:top w:val="none" w:sz="0" w:space="0" w:color="auto"/>
        <w:left w:val="none" w:sz="0" w:space="0" w:color="auto"/>
        <w:bottom w:val="none" w:sz="0" w:space="0" w:color="auto"/>
        <w:right w:val="none" w:sz="0" w:space="0" w:color="auto"/>
      </w:divBdr>
    </w:div>
    <w:div w:id="1542403657">
      <w:bodyDiv w:val="1"/>
      <w:marLeft w:val="0"/>
      <w:marRight w:val="0"/>
      <w:marTop w:val="0"/>
      <w:marBottom w:val="0"/>
      <w:divBdr>
        <w:top w:val="none" w:sz="0" w:space="0" w:color="auto"/>
        <w:left w:val="none" w:sz="0" w:space="0" w:color="auto"/>
        <w:bottom w:val="none" w:sz="0" w:space="0" w:color="auto"/>
        <w:right w:val="none" w:sz="0" w:space="0" w:color="auto"/>
      </w:divBdr>
    </w:div>
    <w:div w:id="1569653266">
      <w:bodyDiv w:val="1"/>
      <w:marLeft w:val="0"/>
      <w:marRight w:val="0"/>
      <w:marTop w:val="0"/>
      <w:marBottom w:val="0"/>
      <w:divBdr>
        <w:top w:val="none" w:sz="0" w:space="0" w:color="auto"/>
        <w:left w:val="none" w:sz="0" w:space="0" w:color="auto"/>
        <w:bottom w:val="none" w:sz="0" w:space="0" w:color="auto"/>
        <w:right w:val="none" w:sz="0" w:space="0" w:color="auto"/>
      </w:divBdr>
    </w:div>
    <w:div w:id="1688286834">
      <w:bodyDiv w:val="1"/>
      <w:marLeft w:val="0"/>
      <w:marRight w:val="0"/>
      <w:marTop w:val="0"/>
      <w:marBottom w:val="0"/>
      <w:divBdr>
        <w:top w:val="none" w:sz="0" w:space="0" w:color="auto"/>
        <w:left w:val="none" w:sz="0" w:space="0" w:color="auto"/>
        <w:bottom w:val="none" w:sz="0" w:space="0" w:color="auto"/>
        <w:right w:val="none" w:sz="0" w:space="0" w:color="auto"/>
      </w:divBdr>
    </w:div>
    <w:div w:id="1717774389">
      <w:bodyDiv w:val="1"/>
      <w:marLeft w:val="0"/>
      <w:marRight w:val="0"/>
      <w:marTop w:val="0"/>
      <w:marBottom w:val="0"/>
      <w:divBdr>
        <w:top w:val="none" w:sz="0" w:space="0" w:color="auto"/>
        <w:left w:val="none" w:sz="0" w:space="0" w:color="auto"/>
        <w:bottom w:val="none" w:sz="0" w:space="0" w:color="auto"/>
        <w:right w:val="none" w:sz="0" w:space="0" w:color="auto"/>
      </w:divBdr>
    </w:div>
    <w:div w:id="1810710204">
      <w:bodyDiv w:val="1"/>
      <w:marLeft w:val="0"/>
      <w:marRight w:val="0"/>
      <w:marTop w:val="0"/>
      <w:marBottom w:val="0"/>
      <w:divBdr>
        <w:top w:val="none" w:sz="0" w:space="0" w:color="auto"/>
        <w:left w:val="none" w:sz="0" w:space="0" w:color="auto"/>
        <w:bottom w:val="none" w:sz="0" w:space="0" w:color="auto"/>
        <w:right w:val="none" w:sz="0" w:space="0" w:color="auto"/>
      </w:divBdr>
    </w:div>
    <w:div w:id="1951623034">
      <w:bodyDiv w:val="1"/>
      <w:marLeft w:val="0"/>
      <w:marRight w:val="0"/>
      <w:marTop w:val="0"/>
      <w:marBottom w:val="0"/>
      <w:divBdr>
        <w:top w:val="none" w:sz="0" w:space="0" w:color="auto"/>
        <w:left w:val="none" w:sz="0" w:space="0" w:color="auto"/>
        <w:bottom w:val="none" w:sz="0" w:space="0" w:color="auto"/>
        <w:right w:val="none" w:sz="0" w:space="0" w:color="auto"/>
      </w:divBdr>
    </w:div>
    <w:div w:id="1964384690">
      <w:bodyDiv w:val="1"/>
      <w:marLeft w:val="0"/>
      <w:marRight w:val="0"/>
      <w:marTop w:val="0"/>
      <w:marBottom w:val="0"/>
      <w:divBdr>
        <w:top w:val="none" w:sz="0" w:space="0" w:color="auto"/>
        <w:left w:val="none" w:sz="0" w:space="0" w:color="auto"/>
        <w:bottom w:val="none" w:sz="0" w:space="0" w:color="auto"/>
        <w:right w:val="none" w:sz="0" w:space="0" w:color="auto"/>
      </w:divBdr>
    </w:div>
    <w:div w:id="1980769061">
      <w:bodyDiv w:val="1"/>
      <w:marLeft w:val="0"/>
      <w:marRight w:val="0"/>
      <w:marTop w:val="0"/>
      <w:marBottom w:val="0"/>
      <w:divBdr>
        <w:top w:val="none" w:sz="0" w:space="0" w:color="auto"/>
        <w:left w:val="none" w:sz="0" w:space="0" w:color="auto"/>
        <w:bottom w:val="none" w:sz="0" w:space="0" w:color="auto"/>
        <w:right w:val="none" w:sz="0" w:space="0" w:color="auto"/>
      </w:divBdr>
    </w:div>
    <w:div w:id="1985230781">
      <w:bodyDiv w:val="1"/>
      <w:marLeft w:val="0"/>
      <w:marRight w:val="0"/>
      <w:marTop w:val="0"/>
      <w:marBottom w:val="0"/>
      <w:divBdr>
        <w:top w:val="none" w:sz="0" w:space="0" w:color="auto"/>
        <w:left w:val="none" w:sz="0" w:space="0" w:color="auto"/>
        <w:bottom w:val="none" w:sz="0" w:space="0" w:color="auto"/>
        <w:right w:val="none" w:sz="0" w:space="0" w:color="auto"/>
      </w:divBdr>
    </w:div>
    <w:div w:id="2034645249">
      <w:bodyDiv w:val="1"/>
      <w:marLeft w:val="0"/>
      <w:marRight w:val="0"/>
      <w:marTop w:val="0"/>
      <w:marBottom w:val="0"/>
      <w:divBdr>
        <w:top w:val="none" w:sz="0" w:space="0" w:color="auto"/>
        <w:left w:val="none" w:sz="0" w:space="0" w:color="auto"/>
        <w:bottom w:val="none" w:sz="0" w:space="0" w:color="auto"/>
        <w:right w:val="none" w:sz="0" w:space="0" w:color="auto"/>
      </w:divBdr>
    </w:div>
    <w:div w:id="2082362289">
      <w:bodyDiv w:val="1"/>
      <w:marLeft w:val="0"/>
      <w:marRight w:val="0"/>
      <w:marTop w:val="0"/>
      <w:marBottom w:val="0"/>
      <w:divBdr>
        <w:top w:val="none" w:sz="0" w:space="0" w:color="auto"/>
        <w:left w:val="none" w:sz="0" w:space="0" w:color="auto"/>
        <w:bottom w:val="none" w:sz="0" w:space="0" w:color="auto"/>
        <w:right w:val="none" w:sz="0" w:space="0" w:color="auto"/>
      </w:divBdr>
    </w:div>
    <w:div w:id="2121072818">
      <w:bodyDiv w:val="1"/>
      <w:marLeft w:val="0"/>
      <w:marRight w:val="0"/>
      <w:marTop w:val="0"/>
      <w:marBottom w:val="0"/>
      <w:divBdr>
        <w:top w:val="none" w:sz="0" w:space="0" w:color="auto"/>
        <w:left w:val="none" w:sz="0" w:space="0" w:color="auto"/>
        <w:bottom w:val="none" w:sz="0" w:space="0" w:color="auto"/>
        <w:right w:val="none" w:sz="0" w:space="0" w:color="auto"/>
      </w:divBdr>
    </w:div>
    <w:div w:id="214102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EFA36-3DBE-404A-9ACE-2834E7E9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1766</Words>
  <Characters>9539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Cavezzale</dc:creator>
  <cp:lastModifiedBy>Erika Palma</cp:lastModifiedBy>
  <cp:revision>8</cp:revision>
  <cp:lastPrinted>2017-09-27T13:02:00Z</cp:lastPrinted>
  <dcterms:created xsi:type="dcterms:W3CDTF">2019-11-05T20:02:00Z</dcterms:created>
  <dcterms:modified xsi:type="dcterms:W3CDTF">2021-03-10T16:39:00Z</dcterms:modified>
</cp:coreProperties>
</file>